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560782" w:rsidR="00763E83" w:rsidP="00763E83" w:rsidRDefault="00763E83" w14:paraId="00c65c3" w14:textId="00c65c3">
      <w:pPr>
        <w:spacing w:after="0"/>
        <w15:collapsed w:val="false"/>
        <w:rPr>
          <w:rFonts w:ascii="Arial" w:hAnsi="Arial" w:eastAsia="Times New Roman" w:cs="Arial"/>
        </w:rPr>
      </w:pPr>
      <w:bookmarkStart w:name="_GoBack" w:id="0"/>
      <w:bookmarkEnd w:id="0"/>
      <w:r w:rsidRPr="00560782">
        <w:rPr>
          <w:rFonts w:ascii="Arial" w:hAnsi="Arial" w:eastAsia="Times New Roman" w:cs="Arial"/>
        </w:rPr>
        <w:t>REPUBLIKA HRVATSKA</w:t>
      </w:r>
    </w:p>
    <w:p w:rsidRPr="00560782" w:rsidR="00763E83" w:rsidP="00763E83" w:rsidRDefault="00763E83">
      <w:pPr>
        <w:spacing w:after="0"/>
        <w:rPr>
          <w:rFonts w:ascii="Arial" w:hAnsi="Arial" w:eastAsia="Times New Roman" w:cs="Arial"/>
        </w:rPr>
      </w:pPr>
      <w:r w:rsidRPr="00560782">
        <w:rPr>
          <w:rFonts w:ascii="Arial" w:hAnsi="Arial" w:eastAsia="Times New Roman" w:cs="Arial"/>
        </w:rPr>
        <w:t>TRGOVAČKI SUD U SPLITU</w:t>
      </w:r>
    </w:p>
    <w:p w:rsidR="00016ED9" w:rsidP="00016ED9" w:rsidRDefault="00016ED9">
      <w:pPr>
        <w:spacing w:after="0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</w:r>
      <w:r>
        <w:rPr>
          <w:rFonts w:ascii="Arial" w:hAnsi="Arial" w:eastAsia="Times New Roman" w:cs="Arial"/>
        </w:rPr>
        <w:tab/>
        <w:t xml:space="preserve"> </w:t>
      </w:r>
    </w:p>
    <w:p w:rsidRPr="00560782" w:rsidR="00763E83" w:rsidP="00016ED9" w:rsidRDefault="00763E83">
      <w:pPr>
        <w:spacing w:after="0"/>
        <w:jc w:val="center"/>
        <w:rPr>
          <w:rFonts w:ascii="Arial" w:hAnsi="Arial" w:eastAsia="Times New Roman" w:cs="Arial"/>
          <w:spacing w:val="60"/>
        </w:rPr>
      </w:pPr>
      <w:r w:rsidRPr="00560782">
        <w:rPr>
          <w:rFonts w:ascii="Arial" w:hAnsi="Arial" w:eastAsia="Times New Roman" w:cs="Arial"/>
          <w:spacing w:val="60"/>
        </w:rPr>
        <w:t>Z A P I S N I K</w:t>
      </w:r>
    </w:p>
    <w:p w:rsidRPr="00560782" w:rsidR="00D14EFB" w:rsidP="00D14EFB" w:rsidRDefault="00D14EFB">
      <w:pPr>
        <w:spacing w:after="0"/>
        <w:jc w:val="center"/>
        <w:rPr>
          <w:rFonts w:ascii="Arial" w:hAnsi="Arial" w:eastAsia="Times New Roman" w:cs="Arial"/>
        </w:rPr>
      </w:pPr>
    </w:p>
    <w:p w:rsidRPr="00560782" w:rsidR="00490762" w:rsidP="006C45F6" w:rsidRDefault="00F05462">
      <w:pPr>
        <w:spacing w:after="0"/>
        <w:jc w:val="both"/>
        <w:rPr>
          <w:rFonts w:ascii="Arial" w:hAnsi="Arial" w:cs="Arial"/>
        </w:rPr>
      </w:pPr>
      <w:r w:rsidRPr="00560782">
        <w:rPr>
          <w:rFonts w:ascii="Arial" w:hAnsi="Arial" w:eastAsia="Times New Roman" w:cs="Arial"/>
          <w:lang w:eastAsia="hr-HR"/>
        </w:rPr>
        <w:t>s</w:t>
      </w:r>
      <w:r w:rsidRPr="00560782" w:rsidR="00763E83">
        <w:rPr>
          <w:rFonts w:ascii="Arial" w:hAnsi="Arial" w:eastAsia="Times New Roman" w:cs="Arial"/>
          <w:lang w:eastAsia="hr-HR"/>
        </w:rPr>
        <w:t>astavlj</w:t>
      </w:r>
      <w:r w:rsidRPr="00560782" w:rsidR="00655070">
        <w:rPr>
          <w:rFonts w:ascii="Arial" w:hAnsi="Arial" w:eastAsia="Times New Roman" w:cs="Arial"/>
          <w:lang w:eastAsia="hr-HR"/>
        </w:rPr>
        <w:t>e</w:t>
      </w:r>
      <w:r w:rsidRPr="00560782" w:rsidR="0060494F">
        <w:rPr>
          <w:rFonts w:ascii="Arial" w:hAnsi="Arial" w:eastAsia="Times New Roman" w:cs="Arial"/>
          <w:lang w:eastAsia="hr-HR"/>
        </w:rPr>
        <w:t>n</w:t>
      </w:r>
      <w:r w:rsidRPr="00560782" w:rsidR="0018633D">
        <w:rPr>
          <w:rFonts w:ascii="Arial" w:hAnsi="Arial" w:eastAsia="Times New Roman" w:cs="Arial"/>
          <w:lang w:eastAsia="hr-HR"/>
        </w:rPr>
        <w:t xml:space="preserve"> kod Trgovačkog suda u Splitu </w:t>
      </w:r>
      <w:r w:rsidR="002058F9">
        <w:rPr>
          <w:rFonts w:ascii="Arial" w:hAnsi="Arial" w:eastAsia="Times New Roman" w:cs="Arial"/>
          <w:lang w:eastAsia="hr-HR"/>
        </w:rPr>
        <w:t>27. listopada</w:t>
      </w:r>
      <w:r w:rsidRPr="00560782" w:rsidR="00142FCE">
        <w:rPr>
          <w:rFonts w:ascii="Arial" w:hAnsi="Arial" w:eastAsia="Times New Roman" w:cs="Arial"/>
          <w:lang w:eastAsia="hr-HR"/>
        </w:rPr>
        <w:t xml:space="preserve"> 2022. </w:t>
      </w:r>
      <w:r w:rsidRPr="00560782" w:rsidR="008E0887">
        <w:rPr>
          <w:rFonts w:ascii="Arial" w:hAnsi="Arial" w:eastAsia="Times New Roman" w:cs="Arial"/>
          <w:lang w:eastAsia="hr-HR"/>
        </w:rPr>
        <w:t>u stečajnom postupku nad dužnikom BOŽEN-CO d.o.o. u stečaju, OIB: 30689118861, Split, Put Supavla 39</w:t>
      </w:r>
      <w:r w:rsidRPr="00560782" w:rsidR="00662C99">
        <w:rPr>
          <w:rFonts w:ascii="Arial" w:hAnsi="Arial" w:eastAsia="Times New Roman" w:cs="Arial"/>
          <w:lang w:eastAsia="hr-HR"/>
        </w:rPr>
        <w:t>,</w:t>
      </w:r>
      <w:r w:rsidRPr="00560782" w:rsidR="005F0B4C">
        <w:rPr>
          <w:rFonts w:ascii="Arial" w:hAnsi="Arial" w:eastAsia="Times New Roman" w:cs="Arial"/>
          <w:lang w:eastAsia="hr-HR"/>
        </w:rPr>
        <w:t xml:space="preserve"> </w:t>
      </w:r>
      <w:r w:rsidRPr="00560782" w:rsidR="009D40DB">
        <w:rPr>
          <w:rFonts w:ascii="Arial" w:hAnsi="Arial" w:cs="Arial"/>
        </w:rPr>
        <w:t>sa ročišta radi izjašnjavanja o vrijednosti nekretnina</w:t>
      </w:r>
      <w:r w:rsidRPr="00560782" w:rsidR="00142FCE">
        <w:rPr>
          <w:rFonts w:ascii="Arial" w:hAnsi="Arial" w:cs="Arial"/>
        </w:rPr>
        <w:t xml:space="preserve">. </w:t>
      </w:r>
    </w:p>
    <w:p w:rsidRPr="00560782" w:rsidR="006C45F6" w:rsidP="006C45F6" w:rsidRDefault="006C45F6">
      <w:pPr>
        <w:spacing w:after="0"/>
        <w:jc w:val="both"/>
        <w:rPr>
          <w:rFonts w:ascii="Arial" w:hAnsi="Arial" w:eastAsia="Times New Roman" w:cs="Arial"/>
          <w:lang w:eastAsia="hr-HR"/>
        </w:rPr>
      </w:pPr>
    </w:p>
    <w:p w:rsidRPr="00560782" w:rsidR="00763E83" w:rsidP="006C45F6" w:rsidRDefault="00763E83">
      <w:pPr>
        <w:spacing w:after="0"/>
        <w:jc w:val="both"/>
        <w:rPr>
          <w:rFonts w:ascii="Arial" w:hAnsi="Arial" w:eastAsia="Times New Roman" w:cs="Arial"/>
          <w:lang w:eastAsia="hr-HR"/>
        </w:rPr>
      </w:pPr>
      <w:r w:rsidRPr="00560782">
        <w:rPr>
          <w:rFonts w:ascii="Arial" w:hAnsi="Arial" w:eastAsia="Times New Roman" w:cs="Arial"/>
          <w:lang w:eastAsia="hr-HR"/>
        </w:rPr>
        <w:t>Nazočni od suda:</w:t>
      </w:r>
    </w:p>
    <w:p w:rsidRPr="00560782" w:rsidR="00763E83" w:rsidP="006C45F6" w:rsidRDefault="00763E83">
      <w:pPr>
        <w:spacing w:after="0"/>
        <w:jc w:val="both"/>
        <w:rPr>
          <w:rFonts w:ascii="Arial" w:hAnsi="Arial" w:eastAsia="Times New Roman" w:cs="Arial"/>
        </w:rPr>
      </w:pPr>
      <w:r w:rsidRPr="00560782">
        <w:rPr>
          <w:rFonts w:ascii="Arial" w:hAnsi="Arial" w:eastAsia="Times New Roman" w:cs="Arial"/>
        </w:rPr>
        <w:t>Ana Golub Gruić, stečajna sutkinja</w:t>
      </w:r>
    </w:p>
    <w:p w:rsidRPr="00560782" w:rsidR="00763E83" w:rsidP="006C45F6" w:rsidRDefault="007F6D8B">
      <w:pPr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>Ivana Hajder</w:t>
      </w:r>
      <w:r w:rsidRPr="00560782" w:rsidR="00763E83">
        <w:rPr>
          <w:rFonts w:ascii="Arial" w:hAnsi="Arial" w:eastAsia="Times New Roman" w:cs="Arial"/>
        </w:rPr>
        <w:t>, sudska zapisničarka</w:t>
      </w:r>
    </w:p>
    <w:p w:rsidRPr="00560782" w:rsidR="006C45F6" w:rsidP="006C45F6" w:rsidRDefault="006C45F6">
      <w:pPr>
        <w:spacing w:after="0"/>
        <w:jc w:val="both"/>
        <w:rPr>
          <w:rFonts w:ascii="Arial" w:hAnsi="Arial" w:eastAsia="Times New Roman" w:cs="Arial"/>
        </w:rPr>
      </w:pPr>
    </w:p>
    <w:p w:rsidRPr="00560782" w:rsidR="00240351" w:rsidP="006C45F6" w:rsidRDefault="00763E83">
      <w:pPr>
        <w:spacing w:after="0"/>
        <w:rPr>
          <w:rFonts w:ascii="Arial" w:hAnsi="Arial" w:eastAsia="Times New Roman" w:cs="Arial"/>
        </w:rPr>
      </w:pPr>
      <w:r w:rsidRPr="00560782">
        <w:rPr>
          <w:rFonts w:ascii="Arial" w:hAnsi="Arial" w:eastAsia="Times New Roman" w:cs="Arial"/>
        </w:rPr>
        <w:t xml:space="preserve">Početak </w:t>
      </w:r>
      <w:r w:rsidRPr="00560782" w:rsidR="00CA4331">
        <w:rPr>
          <w:rFonts w:ascii="Arial" w:hAnsi="Arial" w:eastAsia="Times New Roman" w:cs="Arial"/>
        </w:rPr>
        <w:t xml:space="preserve">u </w:t>
      </w:r>
      <w:r w:rsidRPr="00560782" w:rsidR="00560782">
        <w:rPr>
          <w:rFonts w:ascii="Arial" w:hAnsi="Arial" w:eastAsia="Times New Roman" w:cs="Arial"/>
        </w:rPr>
        <w:t>09</w:t>
      </w:r>
      <w:r w:rsidRPr="00560782" w:rsidR="00CA4331">
        <w:rPr>
          <w:rFonts w:ascii="Arial" w:hAnsi="Arial" w:eastAsia="Times New Roman" w:cs="Arial"/>
        </w:rPr>
        <w:t>:</w:t>
      </w:r>
      <w:r w:rsidR="002058F9">
        <w:rPr>
          <w:rFonts w:ascii="Arial" w:hAnsi="Arial" w:eastAsia="Times New Roman" w:cs="Arial"/>
        </w:rPr>
        <w:t>00</w:t>
      </w:r>
      <w:r w:rsidRPr="00560782">
        <w:rPr>
          <w:rFonts w:ascii="Arial" w:hAnsi="Arial" w:eastAsia="Times New Roman" w:cs="Arial"/>
        </w:rPr>
        <w:t xml:space="preserve"> sati.</w:t>
      </w:r>
    </w:p>
    <w:p w:rsidRPr="00560782" w:rsidR="006C45F6" w:rsidP="006C45F6" w:rsidRDefault="006C45F6">
      <w:pPr>
        <w:spacing w:after="0"/>
        <w:rPr>
          <w:rFonts w:ascii="Arial" w:hAnsi="Arial" w:cs="Arial"/>
          <w:color w:val="000000"/>
        </w:rPr>
      </w:pPr>
    </w:p>
    <w:p w:rsidRPr="00560782" w:rsidR="008E5B08" w:rsidP="006C45F6" w:rsidRDefault="008E5B08">
      <w:pPr>
        <w:spacing w:after="0"/>
        <w:jc w:val="both"/>
        <w:rPr>
          <w:rFonts w:ascii="Arial" w:hAnsi="Arial" w:eastAsia="Times New Roman" w:cs="Arial"/>
        </w:rPr>
      </w:pPr>
      <w:r w:rsidRPr="00560782">
        <w:rPr>
          <w:rFonts w:ascii="Arial" w:hAnsi="Arial" w:eastAsia="Times New Roman" w:cs="Arial"/>
        </w:rPr>
        <w:t>Utvrđuje se da su na današnje ročište pristupili:</w:t>
      </w:r>
    </w:p>
    <w:p w:rsidRPr="00560782" w:rsidR="00050FE2" w:rsidP="006C45F6" w:rsidRDefault="008E5B08">
      <w:pPr>
        <w:tabs>
          <w:tab w:val="left" w:pos="3721"/>
        </w:tabs>
        <w:spacing w:after="0"/>
        <w:jc w:val="both"/>
        <w:rPr>
          <w:rFonts w:ascii="Arial" w:hAnsi="Arial" w:eastAsia="Times New Roman" w:cs="Arial"/>
        </w:rPr>
      </w:pPr>
      <w:r w:rsidRPr="00560782">
        <w:rPr>
          <w:rFonts w:ascii="Arial" w:hAnsi="Arial" w:eastAsia="Times New Roman" w:cs="Arial"/>
        </w:rPr>
        <w:t xml:space="preserve">- </w:t>
      </w:r>
      <w:r w:rsidRPr="00560782" w:rsidR="008E0887">
        <w:rPr>
          <w:rFonts w:ascii="Arial" w:hAnsi="Arial" w:eastAsia="Times New Roman" w:cs="Arial"/>
        </w:rPr>
        <w:t>stečajna upraviteljica Anči Bašić</w:t>
      </w:r>
    </w:p>
    <w:p w:rsidR="003D3C09" w:rsidP="006C45F6" w:rsidRDefault="003D3C09">
      <w:pPr>
        <w:tabs>
          <w:tab w:val="left" w:pos="3721"/>
        </w:tabs>
        <w:spacing w:after="0"/>
        <w:jc w:val="both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- razlučni vjerovnik </w:t>
      </w:r>
      <w:r w:rsidRPr="002058F9" w:rsidR="002058F9">
        <w:rPr>
          <w:rFonts w:ascii="Arial" w:hAnsi="Arial" w:eastAsia="Times New Roman" w:cs="Arial"/>
        </w:rPr>
        <w:t>Jatra d.o.o. Split</w:t>
      </w:r>
      <w:r w:rsidR="007F6D8B">
        <w:rPr>
          <w:rFonts w:ascii="Arial" w:hAnsi="Arial" w:eastAsia="Times New Roman" w:cs="Arial"/>
        </w:rPr>
        <w:t xml:space="preserve"> po punomoćnicima Tomislavu Krki, odvjetniku u Splitu i Mariji Vuletić, odvjetnici u Splitu</w:t>
      </w:r>
    </w:p>
    <w:p w:rsidR="002058F9" w:rsidP="006C45F6" w:rsidRDefault="002058F9">
      <w:pPr>
        <w:tabs>
          <w:tab w:val="left" w:pos="3721"/>
        </w:tabs>
        <w:spacing w:after="0"/>
        <w:jc w:val="both"/>
        <w:rPr>
          <w:rFonts w:ascii="Arial" w:hAnsi="Arial" w:eastAsia="Times New Roman" w:cs="Arial"/>
        </w:rPr>
      </w:pPr>
      <w:r w:rsidRPr="002058F9">
        <w:rPr>
          <w:rFonts w:ascii="Arial" w:hAnsi="Arial" w:eastAsia="Times New Roman" w:cs="Arial"/>
        </w:rPr>
        <w:t>- razlučni vjerovni</w:t>
      </w:r>
      <w:r>
        <w:rPr>
          <w:rFonts w:ascii="Arial" w:hAnsi="Arial" w:eastAsia="Times New Roman" w:cs="Arial"/>
        </w:rPr>
        <w:t>k</w:t>
      </w:r>
      <w:r w:rsidRPr="002058F9">
        <w:rPr>
          <w:rFonts w:ascii="Arial" w:hAnsi="Arial" w:eastAsia="Times New Roman" w:cs="Arial"/>
        </w:rPr>
        <w:t xml:space="preserve"> Dank</w:t>
      </w:r>
      <w:r>
        <w:rPr>
          <w:rFonts w:ascii="Arial" w:hAnsi="Arial" w:eastAsia="Times New Roman" w:cs="Arial"/>
        </w:rPr>
        <w:t>o Hećimović</w:t>
      </w:r>
      <w:r w:rsidR="007F6D8B">
        <w:rPr>
          <w:rFonts w:ascii="Arial" w:hAnsi="Arial" w:eastAsia="Times New Roman" w:cs="Arial"/>
        </w:rPr>
        <w:t xml:space="preserve">, osobno, identitet utvrđen uvidom u OI broj 116240256 izdan od PU Zagrebačke 5. travnja 2022. </w:t>
      </w:r>
    </w:p>
    <w:p w:rsidR="002058F9" w:rsidP="002058F9" w:rsidRDefault="002058F9">
      <w:pPr>
        <w:tabs>
          <w:tab w:val="left" w:pos="3721"/>
        </w:tabs>
        <w:spacing w:after="0"/>
        <w:jc w:val="both"/>
        <w:rPr>
          <w:rFonts w:ascii="Arial" w:hAnsi="Arial" w:cs="Arial"/>
        </w:rPr>
      </w:pPr>
      <w:r w:rsidRPr="002058F9">
        <w:rPr>
          <w:rFonts w:ascii="Arial" w:hAnsi="Arial" w:eastAsia="Times New Roman" w:cs="Arial"/>
        </w:rPr>
        <w:t>- razlučni vjerovnik Republik</w:t>
      </w:r>
      <w:r>
        <w:rPr>
          <w:rFonts w:ascii="Arial" w:hAnsi="Arial" w:eastAsia="Times New Roman" w:cs="Arial"/>
        </w:rPr>
        <w:t xml:space="preserve">a Hrvatska </w:t>
      </w:r>
      <w:r w:rsidR="007F6D8B">
        <w:rPr>
          <w:rFonts w:ascii="Arial" w:hAnsi="Arial" w:eastAsia="Times New Roman" w:cs="Arial"/>
        </w:rPr>
        <w:t xml:space="preserve">po zastupnici po zakonu Maji Klemen, zamjenici u Županijskom državnom odvjetništvu u Splitu </w:t>
      </w:r>
    </w:p>
    <w:p w:rsidR="007F6D8B" w:rsidP="002058F9" w:rsidRDefault="007F6D8B">
      <w:pPr>
        <w:spacing w:before="300"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u svojstvu javnosti nazočni Mario Medvidović i Marijan Medvidović.</w:t>
      </w:r>
    </w:p>
    <w:p w:rsidRPr="002058F9" w:rsidR="002058F9" w:rsidP="002058F9" w:rsidRDefault="002058F9">
      <w:pPr>
        <w:spacing w:before="300"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2058F9">
        <w:rPr>
          <w:rFonts w:ascii="Arial" w:hAnsi="Arial" w:cs="Arial"/>
        </w:rPr>
        <w:t>tvrđuje se da je rješenjem ovoga suda poslovni broj 11.St-63/2015-4</w:t>
      </w:r>
      <w:r>
        <w:rPr>
          <w:rFonts w:ascii="Arial" w:hAnsi="Arial" w:cs="Arial"/>
        </w:rPr>
        <w:t>78</w:t>
      </w:r>
      <w:r w:rsidRPr="002058F9">
        <w:rPr>
          <w:rFonts w:ascii="Arial" w:hAnsi="Arial" w:cs="Arial"/>
        </w:rPr>
        <w:t xml:space="preserve"> od 19. srpnja 2022. određena prodaja nekretnina označenih kao: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1) 25/8222 dijela kat. čest. 1828/4 Z.U. 16122 K.O. Split, koji je suvlasnički dio povezan s cjelinom garažnog mjesta G1-PO2, ukupne površine 24,62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2) 23/8222 dijela kat. čest. 1828/4 Z.U. 16122 K.O. Split, koji je suvlasnički dio povezan s cjelinom garažnog mjesta G2-PO2, ukupne površine 23,35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3) 21/8222 dijela kat. čest. 1828/4 Z.U. 16122 K.O. Split, koji je suvlasnički dio povezan s cjelinom garažnog mjesta G3-PO2, ukupne površine 21,48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 xml:space="preserve">, u podrumu II. </w:t>
      </w:r>
      <w:r w:rsidRPr="002058F9">
        <w:rPr>
          <w:rFonts w:ascii="Arial" w:hAnsi="Arial" w:cs="Arial"/>
        </w:rPr>
        <w:tab/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4) 22/8222 dijela kat. čest. 1828/4 Z.U. 16122 K.O. Split, koji je suvlasnički dio povezan s cjelinom garažnog mjesta G4-PO2, ukupne površine 21,66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 xml:space="preserve">, u podrumu II. </w:t>
      </w:r>
      <w:r w:rsidRPr="002058F9">
        <w:rPr>
          <w:rFonts w:ascii="Arial" w:hAnsi="Arial" w:cs="Arial"/>
        </w:rPr>
        <w:tab/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5) 24/8222 dijela kat. čest. 1828/4 Z.U. 16122 K.O. Split, koji je suvlasnički dio povezan s cjelinom garažnog mjesta G5-PO2, ukupne površine 24,30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6) 19/8222 dijela kat. čest. 1828/4 Z.U. 16122 K.O. Split, koji je suvlasnički dio povezan s cjelinom garažnog mjesta G7-PO2, ukupne površine 19,11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lastRenderedPageBreak/>
        <w:t xml:space="preserve">7) 19/8222 dijela kat. čest. 1828/4 Z.U. 16122 K.O. Split, koji je suvlasnički dio povezan s cjelinom garažnog mjesta G9-PO2, ukupne površine 19,12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8) 17/8222 dijela kat. čest. 1828/4 Z.U. 16122 K.O. Split, koji je suvlasnički dio povezan s cjelinom garažnog mjesta G10-PO2, ukupne površine 17,17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9) 23/8222 dijela kat. čest. 1828/4 Z.U. 16122 K.O. Split, koji je suvlasnički dio povezan s cjelinom garažnog mjesta G14-PO2, ukupne površine 23,07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10) 23/8222 dijela kat. čest. 1828/4 Z.U. 16122 K.O. Split, koji je suvlasnički dio povezan s cjelinom garažnog mjesta G15-PO2, ukupne površine 23,07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11) 23/8222 dijela kat. čest. 1828/4 Z.U. 16122 K.O. Split, koji je suvlasnički dio povezan s cjelinom garažnog mjesta G16-PO2, ukupne površine 23,07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12) 23/8222 dijela kat. čest. 1828/4 Z.U. 16122 K.O. Split, koji je suvlasnički dio povezan s cjelinom garažnog mjesta G17-PO2, ukupne površine 22,69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13) 26/8222 dijela kat. čest. 1828/4 Z.U. 16122 K.O. Split, koji je suvlasnički dio povezan s cjelinom garažnog mjesta G18-PO2, ukupne površine 26,05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14) 21/8222 dijela kat. čest. 1828/4 Z.U. 16122 K.O. Split, koji je suvlasnički dio povezan s cjelinom garažnog mjesta G19-PO2, ukupne površine 20,57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15) 13/8222dijela kat. čest. 1828/4 Z.U. 16122 K.O. Split, koji je suvlasnički dio povezan s cjelinom garažnog mjesta G20-PO2, ukupne površine 13,36 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16) 14/8222 dijela kat. čest. 1828/4 Z.U. 16122 K.O. Split, koji je suvlasnički dio povezan s cjelinom garažnog mjesta G21-PO2, ukupne površine 13,66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17) 17/8222 dijela kat. čest. 1828/4 Z.U. 16122 K.O. Split, koji je suvlasnički dio povezan s cjelinom garažnog mjesta G22-PO2, ukupne površine 17,04 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18) 26/8222 dijela kat. čest. 1828/4 Z.U. 16122 K.O. Split, koji je suvlasnički dio povezan s cjelinom garažnog mjesta G23-PO2, ukupne površine 26,39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19) 27/8222 dijela kat. čest. 1828/4 Z.U. 16122 K.O. Split, koji je suvlasnički dio povezan s cjelinom garažnog mjesta G24-PO2, ukupne (netto )  površine 26,91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20) 36/8222 dijela kat. čest. 1828/4 Z.U. 16122 K.O. Split, koji je suvlasnički dio povezan s cjelinom garažnog mjesta G25-PO2, ukupne površine 35,77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lastRenderedPageBreak/>
        <w:t xml:space="preserve">21) 33/8222 dijela kat. čest. 1828/4 Z.U. 16122 K.O. Split, koji je suvlasnički dio povezan s cjelinom garažnog mjesta G26-PO2, ukupne površine 33,21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22) 24/8222 dijela kat. čest. 1828/4 Z.U. 16122 K.O. Split, koji je suvlasnički dio povezan s cjelinom garažnog mjesta G27-PO2, ukupne površine 23,75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23) 21/8222 dijela kat. čest. 1828/4 Z.U. 16122 K.O. Split, koji je suvlasnički dio povezan s cjelinom garažnog mjesta G28-PO2, ukupne površine 21,36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24) 24/8222 dijela kat. čest. 1828/4 Z.U. 16122 K.O. Split, koji je suvlasnički dio povezan s cjelinom garažnog mjesta G29-PO2, ukupne površine 23,84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25) 24/8222 dijela kat. čest. 1828/4 Z.U. 16122 K.O. Split, koji je suvlasnički dio povezan s cjelinom garažnog mjesta G31-PO2, ukupne površine 23,84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26) 24/8222 dijela kat. čest. 1828/4 Z.U. 16122 K.O. Split, koji je suvlasnički dio povezan s cjelinom garažnog mjesta G33-PO2, ukupne površine 24,18 </w:t>
      </w:r>
      <w:r w:rsidRPr="002058F9" w:rsidR="00567AB9">
        <w:rPr>
          <w:rFonts w:ascii="Arial" w:hAnsi="Arial" w:cs="Arial"/>
        </w:rPr>
        <w:t>m</w:t>
      </w:r>
      <w:r w:rsidRPr="00567AB9" w:rsid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II.,</w:t>
      </w:r>
    </w:p>
    <w:p w:rsidRPr="002058F9" w:rsidR="002058F9" w:rsidP="002058F9" w:rsidRDefault="002058F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uknjiženog prava vlasništva BOŽEN-CO d.o.o. Split, OIB: 30689118861, za cijelo.</w:t>
      </w:r>
    </w:p>
    <w:p w:rsidR="002058F9" w:rsidP="002058F9" w:rsidRDefault="002058F9">
      <w:pPr>
        <w:spacing w:before="300"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Nadalje, u</w:t>
      </w:r>
      <w:r w:rsidRPr="008E0887" w:rsidR="003D3C09">
        <w:rPr>
          <w:rFonts w:ascii="Arial" w:hAnsi="Arial" w:cs="Arial"/>
        </w:rPr>
        <w:t xml:space="preserve">tvrđuje se da je rješenjem ovoga suda poslovni broj </w:t>
      </w:r>
      <w:r w:rsidRPr="002058F9">
        <w:rPr>
          <w:rFonts w:ascii="Arial" w:hAnsi="Arial" w:cs="Arial"/>
        </w:rPr>
        <w:t>11.St-63/2015-480</w:t>
      </w:r>
      <w:r>
        <w:rPr>
          <w:rFonts w:ascii="Arial" w:hAnsi="Arial" w:cs="Arial"/>
        </w:rPr>
        <w:t xml:space="preserve"> </w:t>
      </w:r>
      <w:r w:rsidRPr="008E0887" w:rsidR="003D3C09">
        <w:rPr>
          <w:rFonts w:ascii="Arial" w:hAnsi="Arial" w:cs="Arial"/>
        </w:rPr>
        <w:t xml:space="preserve">od </w:t>
      </w:r>
      <w:r w:rsidRPr="002058F9">
        <w:rPr>
          <w:rFonts w:ascii="Arial" w:hAnsi="Arial" w:cs="Arial"/>
        </w:rPr>
        <w:t>19. srpnja 2022</w:t>
      </w:r>
      <w:r w:rsidRPr="008E0887" w:rsidR="003D3C09">
        <w:rPr>
          <w:rFonts w:ascii="Arial" w:hAnsi="Arial" w:cs="Arial"/>
        </w:rPr>
        <w:t>. određena prodaja nekretnin</w:t>
      </w:r>
      <w:r>
        <w:rPr>
          <w:rFonts w:ascii="Arial" w:hAnsi="Arial" w:cs="Arial"/>
        </w:rPr>
        <w:t>a</w:t>
      </w:r>
      <w:r w:rsidRPr="008E0887" w:rsidR="003D3C09">
        <w:rPr>
          <w:rFonts w:ascii="Arial" w:hAnsi="Arial" w:cs="Arial"/>
        </w:rPr>
        <w:t xml:space="preserve"> </w:t>
      </w:r>
      <w:r w:rsidRPr="002058F9">
        <w:rPr>
          <w:rFonts w:ascii="Arial" w:hAnsi="Arial" w:cs="Arial"/>
        </w:rPr>
        <w:t>označenih kao:</w:t>
      </w:r>
    </w:p>
    <w:p w:rsidRPr="002058F9" w:rsidR="002058F9" w:rsidP="002058F9" w:rsidRDefault="002058F9">
      <w:pPr>
        <w:spacing w:before="6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a) kat. čest. zgr. 3317, kat. čest. zem. 9101/1 i kat. čest. zem. 9101/2, sve čest. Z.U. 3670 K.O. Split, </w:t>
      </w:r>
    </w:p>
    <w:p w:rsidRPr="002058F9" w:rsidR="002058F9" w:rsidP="002058F9" w:rsidRDefault="002058F9">
      <w:pPr>
        <w:spacing w:before="6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b) kat. čest. zem. 9101/3 Z.U. 7825 K.O. Split</w:t>
      </w:r>
    </w:p>
    <w:p w:rsidR="002058F9" w:rsidP="002058F9" w:rsidRDefault="002058F9">
      <w:pPr>
        <w:spacing w:before="6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c) kat. čest. zgr. 1066 i kat. čest. zem. 9113/2, obje čest. Z.U. 15431 K.O. Split,</w:t>
      </w:r>
    </w:p>
    <w:p w:rsidRPr="008E0887" w:rsidR="003D3C09" w:rsidP="002058F9" w:rsidRDefault="003D3C09">
      <w:pPr>
        <w:spacing w:before="60" w:after="0"/>
        <w:jc w:val="both"/>
        <w:rPr>
          <w:rFonts w:ascii="Arial" w:hAnsi="Arial" w:cs="Arial"/>
          <w:highlight w:val="yellow"/>
        </w:rPr>
      </w:pPr>
      <w:r w:rsidRPr="008E0887">
        <w:rPr>
          <w:rFonts w:ascii="Arial" w:hAnsi="Arial" w:cs="Arial"/>
        </w:rPr>
        <w:t>uknjiženog prava vlasništva BOŽEN-CO d.o.o. Split, OIB: 30689118861, za cijelo.</w:t>
      </w:r>
    </w:p>
    <w:p w:rsidR="003D3C09" w:rsidP="003D3C09" w:rsidRDefault="002058F9">
      <w:pPr>
        <w:spacing w:before="300"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8E0887" w:rsidR="003D3C09">
        <w:rPr>
          <w:rFonts w:ascii="Arial" w:hAnsi="Arial" w:cs="Arial"/>
        </w:rPr>
        <w:t>tvrđuje se da je zaključkom ovoga suda poslovni broj 11.St-</w:t>
      </w:r>
      <w:r w:rsidR="003D3C09">
        <w:rPr>
          <w:rFonts w:ascii="Arial" w:hAnsi="Arial" w:cs="Arial"/>
        </w:rPr>
        <w:t>63/2015-</w:t>
      </w:r>
      <w:r>
        <w:rPr>
          <w:rFonts w:ascii="Arial" w:hAnsi="Arial" w:cs="Arial"/>
        </w:rPr>
        <w:t>526</w:t>
      </w:r>
      <w:r w:rsidRPr="008E0887" w:rsidR="003D3C09">
        <w:rPr>
          <w:rFonts w:ascii="Arial" w:hAnsi="Arial" w:cs="Arial"/>
        </w:rPr>
        <w:t xml:space="preserve"> od </w:t>
      </w:r>
      <w:r w:rsidRPr="002058F9">
        <w:rPr>
          <w:rFonts w:ascii="Arial" w:hAnsi="Arial" w:cs="Arial"/>
        </w:rPr>
        <w:t>29. rujna 2022</w:t>
      </w:r>
      <w:r w:rsidRPr="008E0887" w:rsidR="003D3C09">
        <w:rPr>
          <w:rFonts w:ascii="Arial" w:hAnsi="Arial" w:cs="Arial"/>
        </w:rPr>
        <w:t>. određeno ročište radi izjašn</w:t>
      </w:r>
      <w:r w:rsidR="003D3C09">
        <w:rPr>
          <w:rFonts w:ascii="Arial" w:hAnsi="Arial" w:cs="Arial"/>
        </w:rPr>
        <w:t>javanja o vrijednosti predmetn</w:t>
      </w:r>
      <w:r>
        <w:rPr>
          <w:rFonts w:ascii="Arial" w:hAnsi="Arial" w:cs="Arial"/>
        </w:rPr>
        <w:t>ih nekretnina</w:t>
      </w:r>
      <w:r w:rsidR="003D3C09">
        <w:rPr>
          <w:rFonts w:ascii="Arial" w:hAnsi="Arial" w:cs="Arial"/>
        </w:rPr>
        <w:t xml:space="preserve">. </w:t>
      </w:r>
    </w:p>
    <w:p w:rsidR="003D3C09" w:rsidP="003D3C09" w:rsidRDefault="003D3C09">
      <w:pPr>
        <w:spacing w:before="200" w:after="0"/>
        <w:ind w:firstLine="708"/>
        <w:jc w:val="both"/>
        <w:rPr>
          <w:rFonts w:ascii="Arial" w:hAnsi="Arial" w:cs="Arial"/>
        </w:rPr>
      </w:pPr>
      <w:r w:rsidRPr="008E0887">
        <w:rPr>
          <w:rFonts w:ascii="Arial" w:hAnsi="Arial" w:cs="Arial"/>
        </w:rPr>
        <w:t>Predmetni zaključ</w:t>
      </w:r>
      <w:r w:rsidR="001D3CF0">
        <w:rPr>
          <w:rFonts w:ascii="Arial" w:hAnsi="Arial" w:cs="Arial"/>
        </w:rPr>
        <w:t>ak</w:t>
      </w:r>
      <w:r w:rsidRPr="008E0887">
        <w:rPr>
          <w:rFonts w:ascii="Arial" w:hAnsi="Arial" w:cs="Arial"/>
        </w:rPr>
        <w:t xml:space="preserve"> objavlje</w:t>
      </w:r>
      <w:r w:rsidR="002058F9">
        <w:rPr>
          <w:rFonts w:ascii="Arial" w:hAnsi="Arial" w:cs="Arial"/>
        </w:rPr>
        <w:t>n je</w:t>
      </w:r>
      <w:r w:rsidRPr="008E0887">
        <w:rPr>
          <w:rFonts w:ascii="Arial" w:hAnsi="Arial" w:cs="Arial"/>
        </w:rPr>
        <w:t xml:space="preserve"> na mrežnoj stranici e-Oglasna ploča sudova.</w:t>
      </w:r>
    </w:p>
    <w:p w:rsidRPr="00EA4C82" w:rsidR="00567AB9" w:rsidP="00927687" w:rsidRDefault="00567AB9">
      <w:pPr>
        <w:spacing w:before="200" w:after="0"/>
        <w:ind w:firstLine="708"/>
        <w:jc w:val="both"/>
        <w:rPr>
          <w:rFonts w:ascii="Arial" w:hAnsi="Arial" w:cs="Arial"/>
        </w:rPr>
      </w:pPr>
      <w:r w:rsidRPr="00EA4C82">
        <w:rPr>
          <w:rFonts w:ascii="Arial" w:hAnsi="Arial" w:cs="Arial"/>
        </w:rPr>
        <w:t>Stečajna upraviteljica navodi da je u postupku ovrhe koji se vodio kod Općinskog suda u Splitu pod poslovnim brojem Ovr-3711/2021 (raniji poslovni broj Ovr-4048/2014), a koji je ustupljen Trgovačkom sudu u Splitu, dana 8. travnja 2022. zaprimljeno očitovanje Ministarstva financija – Porezne uprave Split, iz kojeg proizlazi da:</w:t>
      </w:r>
    </w:p>
    <w:p w:rsidRPr="00EA4C82" w:rsidR="00567AB9" w:rsidP="00927687" w:rsidRDefault="00567AB9">
      <w:pPr>
        <w:spacing w:before="100" w:after="0"/>
        <w:jc w:val="both"/>
        <w:rPr>
          <w:rFonts w:ascii="Arial" w:hAnsi="Arial" w:cs="Arial"/>
        </w:rPr>
      </w:pPr>
      <w:r w:rsidRPr="00EA4C82">
        <w:rPr>
          <w:rFonts w:ascii="Arial" w:hAnsi="Arial" w:cs="Arial"/>
        </w:rPr>
        <w:t>- prosječna cijena parkirnih mjesta položenih u mjesnoj zajednici Žnjan (u kojoj se nalaze predmetne nekretnine) za mjesec ožujak 2022. iznosi 5.212,00 kn / m</w:t>
      </w:r>
      <w:r w:rsidRPr="00EA4C82">
        <w:rPr>
          <w:rFonts w:ascii="Arial" w:hAnsi="Arial" w:cs="Arial"/>
          <w:vertAlign w:val="superscript"/>
        </w:rPr>
        <w:t xml:space="preserve">2 </w:t>
      </w:r>
    </w:p>
    <w:p w:rsidRPr="00EA4C82" w:rsidR="00567AB9" w:rsidP="00927687" w:rsidRDefault="00567AB9">
      <w:pPr>
        <w:spacing w:before="100" w:after="0"/>
        <w:jc w:val="both"/>
        <w:rPr>
          <w:rFonts w:ascii="Arial" w:hAnsi="Arial" w:cs="Arial"/>
        </w:rPr>
      </w:pPr>
      <w:r w:rsidRPr="00EA4C82">
        <w:rPr>
          <w:rFonts w:ascii="Arial" w:hAnsi="Arial" w:cs="Arial"/>
        </w:rPr>
        <w:t>- prosječna cijena garažnih mjesta položenih u mjesnoj zajednici Žnjan (u kojoj se nalaze predmetne nekretnine) za mjesec ož</w:t>
      </w:r>
      <w:r w:rsidR="00EA4C82">
        <w:rPr>
          <w:rFonts w:ascii="Arial" w:hAnsi="Arial" w:cs="Arial"/>
        </w:rPr>
        <w:t>ujak 2022. iznosi 6.005,34 kn /</w:t>
      </w:r>
      <w:r w:rsidRPr="00EA4C82">
        <w:rPr>
          <w:rFonts w:ascii="Arial" w:hAnsi="Arial" w:cs="Arial"/>
        </w:rPr>
        <w:t>m</w:t>
      </w:r>
      <w:r w:rsidRPr="00EA4C82">
        <w:rPr>
          <w:rFonts w:ascii="Arial" w:hAnsi="Arial" w:cs="Arial"/>
          <w:vertAlign w:val="superscript"/>
        </w:rPr>
        <w:t xml:space="preserve">2 </w:t>
      </w:r>
      <w:r w:rsidRPr="00EA4C82">
        <w:rPr>
          <w:rFonts w:ascii="Arial" w:hAnsi="Arial" w:cs="Arial"/>
        </w:rPr>
        <w:t>.</w:t>
      </w:r>
    </w:p>
    <w:p w:rsidR="008F57C9" w:rsidP="008F57C9" w:rsidRDefault="00C85A38">
      <w:pPr>
        <w:spacing w:before="100" w:after="0"/>
        <w:ind w:firstLine="708"/>
        <w:jc w:val="both"/>
        <w:rPr>
          <w:rFonts w:ascii="Arial" w:hAnsi="Arial" w:cs="Arial"/>
        </w:rPr>
      </w:pPr>
      <w:r w:rsidRPr="005A4147">
        <w:rPr>
          <w:rFonts w:ascii="Arial" w:hAnsi="Arial" w:cs="Arial"/>
        </w:rPr>
        <w:t>Stečajna uprav</w:t>
      </w:r>
      <w:r w:rsidRPr="005A4147" w:rsidR="003B09D0">
        <w:rPr>
          <w:rFonts w:ascii="Arial" w:hAnsi="Arial" w:cs="Arial"/>
        </w:rPr>
        <w:t xml:space="preserve">iteljica navodi da je u tijeku stečajnog </w:t>
      </w:r>
      <w:r w:rsidRPr="005A4147">
        <w:rPr>
          <w:rFonts w:ascii="Arial" w:hAnsi="Arial" w:cs="Arial"/>
        </w:rPr>
        <w:t xml:space="preserve">postupka provedena prodaja garažnih parkirnih mjesta u stambenoj zgradi na adresi Tučepska po </w:t>
      </w:r>
      <w:r w:rsidRPr="005A4147">
        <w:rPr>
          <w:rFonts w:ascii="Arial" w:hAnsi="Arial" w:cs="Arial"/>
        </w:rPr>
        <w:lastRenderedPageBreak/>
        <w:t>prosj</w:t>
      </w:r>
      <w:r w:rsidRPr="005A4147" w:rsidR="003B09D0">
        <w:rPr>
          <w:rFonts w:ascii="Arial" w:hAnsi="Arial" w:cs="Arial"/>
        </w:rPr>
        <w:t>ečnoj cijeni od 5.160,47  kn,  te</w:t>
      </w:r>
      <w:r w:rsidRPr="005A4147">
        <w:rPr>
          <w:rFonts w:ascii="Arial" w:hAnsi="Arial" w:cs="Arial"/>
        </w:rPr>
        <w:t xml:space="preserve">  na  adresi Radoševac </w:t>
      </w:r>
      <w:r w:rsidRPr="005A4147" w:rsidR="003B09D0">
        <w:rPr>
          <w:rFonts w:ascii="Arial" w:hAnsi="Arial" w:cs="Arial"/>
        </w:rPr>
        <w:t xml:space="preserve">po cijeni </w:t>
      </w:r>
      <w:r w:rsidRPr="005A4147" w:rsidR="001D3CF0">
        <w:rPr>
          <w:rFonts w:ascii="Arial" w:hAnsi="Arial" w:cs="Arial"/>
        </w:rPr>
        <w:t xml:space="preserve"> od 5.296,87 kn. Sada se provodi</w:t>
      </w:r>
      <w:r w:rsidRPr="005A4147" w:rsidR="003B09D0">
        <w:rPr>
          <w:rFonts w:ascii="Arial" w:hAnsi="Arial" w:cs="Arial"/>
        </w:rPr>
        <w:t xml:space="preserve"> </w:t>
      </w:r>
      <w:r w:rsidRPr="005A4147" w:rsidR="001D3CF0">
        <w:rPr>
          <w:rFonts w:ascii="Arial" w:hAnsi="Arial" w:cs="Arial"/>
        </w:rPr>
        <w:t xml:space="preserve">prodaja garaža, </w:t>
      </w:r>
      <w:r w:rsidRPr="005A4147" w:rsidR="003B09D0">
        <w:rPr>
          <w:rFonts w:ascii="Arial" w:hAnsi="Arial" w:cs="Arial"/>
        </w:rPr>
        <w:t>u tijeku ovršnog postupka nije</w:t>
      </w:r>
      <w:r w:rsidRPr="005A4147">
        <w:rPr>
          <w:rFonts w:ascii="Arial" w:hAnsi="Arial" w:cs="Arial"/>
        </w:rPr>
        <w:t xml:space="preserve"> izvršena </w:t>
      </w:r>
      <w:r w:rsidRPr="005A4147" w:rsidR="003B09D0">
        <w:rPr>
          <w:rFonts w:ascii="Arial" w:hAnsi="Arial" w:cs="Arial"/>
        </w:rPr>
        <w:t xml:space="preserve">procjena po sudskom vještaku, </w:t>
      </w:r>
      <w:r w:rsidRPr="005A4147">
        <w:rPr>
          <w:rFonts w:ascii="Arial" w:hAnsi="Arial" w:cs="Arial"/>
        </w:rPr>
        <w:t>a</w:t>
      </w:r>
      <w:r w:rsidRPr="005A4147" w:rsidR="001D3CF0">
        <w:rPr>
          <w:rFonts w:ascii="Arial" w:hAnsi="Arial" w:cs="Arial"/>
        </w:rPr>
        <w:t xml:space="preserve"> prodaja će se </w:t>
      </w:r>
      <w:r w:rsidRPr="005A4147">
        <w:rPr>
          <w:rFonts w:ascii="Arial" w:hAnsi="Arial" w:cs="Arial"/>
        </w:rPr>
        <w:t>provoditi elektroničkom javnom dražbom putem FINE</w:t>
      </w:r>
      <w:r w:rsidRPr="005A4147" w:rsidR="001D3CF0">
        <w:rPr>
          <w:rFonts w:ascii="Arial" w:hAnsi="Arial" w:cs="Arial"/>
        </w:rPr>
        <w:t>,</w:t>
      </w:r>
      <w:r w:rsidRPr="005A4147">
        <w:rPr>
          <w:rFonts w:ascii="Arial" w:hAnsi="Arial" w:cs="Arial"/>
        </w:rPr>
        <w:t xml:space="preserve"> </w:t>
      </w:r>
      <w:r w:rsidRPr="005A4147" w:rsidR="001D3CF0">
        <w:rPr>
          <w:rFonts w:ascii="Arial" w:hAnsi="Arial" w:cs="Arial"/>
        </w:rPr>
        <w:t xml:space="preserve">te </w:t>
      </w:r>
      <w:r w:rsidRPr="005A4147" w:rsidR="003B09D0">
        <w:rPr>
          <w:rFonts w:ascii="Arial" w:hAnsi="Arial" w:cs="Arial"/>
        </w:rPr>
        <w:t xml:space="preserve">se na prvoj dražbi ne može prodati ispod cijene </w:t>
      </w:r>
      <w:r w:rsidRPr="005A4147">
        <w:rPr>
          <w:rFonts w:ascii="Arial" w:hAnsi="Arial" w:cs="Arial"/>
        </w:rPr>
        <w:t>koja će iznositi 75 % vrijednosti</w:t>
      </w:r>
      <w:r w:rsidRPr="005A4147" w:rsidR="00C52E58">
        <w:rPr>
          <w:rFonts w:ascii="Arial" w:hAnsi="Arial" w:cs="Arial"/>
        </w:rPr>
        <w:t xml:space="preserve"> stoga</w:t>
      </w:r>
      <w:r w:rsidR="00721E21">
        <w:rPr>
          <w:rFonts w:ascii="Arial" w:hAnsi="Arial" w:cs="Arial"/>
        </w:rPr>
        <w:t xml:space="preserve"> predlaže</w:t>
      </w:r>
      <w:r w:rsidRPr="005A4147">
        <w:rPr>
          <w:rFonts w:ascii="Arial" w:hAnsi="Arial" w:cs="Arial"/>
        </w:rPr>
        <w:t xml:space="preserve"> da se vrijednost nekretnin</w:t>
      </w:r>
      <w:r w:rsidRPr="005A4147" w:rsidR="00C52E58">
        <w:rPr>
          <w:rFonts w:ascii="Arial" w:hAnsi="Arial" w:cs="Arial"/>
        </w:rPr>
        <w:t xml:space="preserve">a koje su predmet prodaje odrede u </w:t>
      </w:r>
      <w:r w:rsidRPr="005A4147">
        <w:rPr>
          <w:rFonts w:ascii="Arial" w:hAnsi="Arial" w:cs="Arial"/>
        </w:rPr>
        <w:t xml:space="preserve"> </w:t>
      </w:r>
      <w:r w:rsidRPr="005A4147" w:rsidR="00C52E58">
        <w:rPr>
          <w:rFonts w:ascii="Arial" w:hAnsi="Arial" w:cs="Arial"/>
        </w:rPr>
        <w:t xml:space="preserve">iznosu </w:t>
      </w:r>
      <w:r w:rsidRPr="005A4147">
        <w:rPr>
          <w:rFonts w:ascii="Arial" w:hAnsi="Arial" w:cs="Arial"/>
        </w:rPr>
        <w:t>od</w:t>
      </w:r>
      <w:r w:rsidR="00721E21">
        <w:rPr>
          <w:rFonts w:ascii="Arial" w:hAnsi="Arial" w:cs="Arial"/>
        </w:rPr>
        <w:t xml:space="preserve"> </w:t>
      </w:r>
      <w:r w:rsidR="00F04F82">
        <w:rPr>
          <w:rFonts w:ascii="Arial" w:hAnsi="Arial" w:cs="Arial"/>
        </w:rPr>
        <w:t>8.000,00 kn</w:t>
      </w:r>
      <w:r w:rsidRPr="005A4147">
        <w:rPr>
          <w:rFonts w:ascii="Arial" w:hAnsi="Arial" w:cs="Arial"/>
        </w:rPr>
        <w:t>/m</w:t>
      </w:r>
      <w:r w:rsidRPr="005A4147">
        <w:rPr>
          <w:rFonts w:ascii="Arial" w:hAnsi="Arial" w:cs="Arial"/>
          <w:sz w:val="22"/>
          <w:vertAlign w:val="superscript"/>
        </w:rPr>
        <w:t>2</w:t>
      </w:r>
      <w:r w:rsidRPr="005A4147" w:rsidR="003B09D0">
        <w:rPr>
          <w:rFonts w:ascii="Arial" w:hAnsi="Arial" w:cs="Arial"/>
        </w:rPr>
        <w:t xml:space="preserve"> (</w:t>
      </w:r>
      <w:r w:rsidRPr="005A4147" w:rsidR="00C52E58">
        <w:rPr>
          <w:rFonts w:ascii="Arial" w:hAnsi="Arial" w:cs="Arial"/>
        </w:rPr>
        <w:t xml:space="preserve">što znači da se na prvoj dražbi se ne može prodati ispod </w:t>
      </w:r>
      <w:r w:rsidR="00F04F82">
        <w:rPr>
          <w:rFonts w:ascii="Arial" w:hAnsi="Arial" w:cs="Arial"/>
        </w:rPr>
        <w:t>6.000,00 kn</w:t>
      </w:r>
      <w:r w:rsidRPr="005A4147" w:rsidR="00C52E58">
        <w:rPr>
          <w:rFonts w:ascii="Arial" w:hAnsi="Arial" w:cs="Arial"/>
        </w:rPr>
        <w:t>, a to je</w:t>
      </w:r>
      <w:r w:rsidR="008F57C9">
        <w:rPr>
          <w:rFonts w:ascii="Arial" w:hAnsi="Arial" w:cs="Arial"/>
        </w:rPr>
        <w:t xml:space="preserve"> </w:t>
      </w:r>
      <w:r w:rsidR="00F04F82">
        <w:rPr>
          <w:rFonts w:ascii="Arial" w:hAnsi="Arial" w:cs="Arial"/>
        </w:rPr>
        <w:t>upravo cijena koja je ostvarena prema podatku</w:t>
      </w:r>
      <w:r w:rsidR="008F57C9">
        <w:rPr>
          <w:rFonts w:ascii="Arial" w:hAnsi="Arial" w:cs="Arial"/>
        </w:rPr>
        <w:t xml:space="preserve"> Porezne uprave). </w:t>
      </w:r>
    </w:p>
    <w:p w:rsidR="00C85A38" w:rsidP="008F57C9" w:rsidRDefault="009F5AFA">
      <w:pPr>
        <w:spacing w:before="100"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ističe da unatoč tome što su nekretnine u zemljišnoj knjizi upisane kao garažna mjesta da je u naravi u stvari riječ o zatvorenim garažama s rolo vratima koje sigurno imaju veću vrijednost od običnih garažnih mjesta. Dalje ističe da je u ovom postupku nad adresi Radoševac za obična garažna mjesta postizana cijena u prosjeku od oko 5.300,00 kn/m</w:t>
      </w:r>
      <w:r w:rsidRPr="009F5AFA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,  a u Tučepskoj 5.160,00 kn/m</w:t>
      </w:r>
      <w:r w:rsidRPr="009F5AFA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. </w:t>
      </w:r>
    </w:p>
    <w:p w:rsidR="00F04F82" w:rsidP="008F57C9" w:rsidRDefault="00F04F82">
      <w:pPr>
        <w:spacing w:before="100"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Punomoćnici razlučnog vjerovnika JATRA d.o.o. Split navode da nisu suglasni s prijedlogom stečajne upraviteljice te predlažu da se cijena utvrdi po 1.000,00 EUR/m</w:t>
      </w:r>
      <w:r w:rsidRPr="00F04F82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>. Smatra da je to realna tržišna vrijednost.</w:t>
      </w:r>
    </w:p>
    <w:p w:rsidR="00F04F82" w:rsidP="008F57C9" w:rsidRDefault="00F04F82">
      <w:pPr>
        <w:spacing w:before="100"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navodi da je suglasna s prijedlogom razlučnog vjerovnika te da će u najkraćem roku dostaviti novi izračun u kojem predlaže početnu prodajnu vrijednost etažnih cjelina označenih kao: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rPr>
          <w:rFonts w:ascii="Arial" w:hAnsi="Arial" w:cs="Arial"/>
          <w:color w:val="000000"/>
        </w:rPr>
      </w:pP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  <w:color w:val="000000"/>
        </w:rPr>
      </w:pPr>
      <w:r w:rsidRPr="00F04F82">
        <w:rPr>
          <w:rFonts w:ascii="Arial" w:hAnsi="Arial" w:cs="Arial"/>
          <w:color w:val="000000"/>
        </w:rPr>
        <w:t xml:space="preserve">1) 25/8222 dijela kat. čest. 1828/4 Z.U. 16122 K.O. Split, koji je suvlasnički dio povezan s cjelinom garažnog mjesta G1-PO2, ukupne površine 24,62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  <w:color w:val="000000"/>
        </w:rPr>
      </w:pPr>
      <w:r w:rsidRPr="00F04F82">
        <w:rPr>
          <w:rFonts w:ascii="Arial" w:hAnsi="Arial" w:cs="Arial"/>
          <w:color w:val="000000"/>
        </w:rPr>
        <w:t xml:space="preserve">2) 23/8222 dijela kat. čest. 1828/4 Z.U. 16122 K.O. Split, koji je suvlasnički dio povezan s cjelinom garažnog mjesta G2-PO2, ukupne površine 23,35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  <w:color w:val="000000"/>
        </w:rPr>
      </w:pPr>
      <w:r w:rsidRPr="00F04F82">
        <w:rPr>
          <w:rFonts w:ascii="Arial" w:hAnsi="Arial" w:cs="Arial"/>
          <w:color w:val="000000"/>
        </w:rPr>
        <w:t xml:space="preserve">3) 21/8222 dijela kat. čest. 1828/4 Z.U. 16122 K.O. Split, koji je suvlasnički dio povezan s cjelinom garažnog mjesta G3-PO2, ukupne površine 21,48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  <w:color w:val="000000"/>
        </w:rPr>
      </w:pPr>
      <w:r w:rsidRPr="00F04F82">
        <w:rPr>
          <w:rFonts w:ascii="Arial" w:hAnsi="Arial" w:cs="Arial"/>
          <w:color w:val="000000"/>
        </w:rPr>
        <w:t xml:space="preserve">4) 22/8222 dijela kat. čest. 1828/4 Z.U. 16122 K.O. Split, koji je suvlasnički dio povezan s cjelinom garažnog mjesta G4-PO2, ukupne površine 21,66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  <w:color w:val="000000"/>
        </w:rPr>
      </w:pPr>
      <w:r w:rsidRPr="00F04F82">
        <w:rPr>
          <w:rFonts w:ascii="Arial" w:hAnsi="Arial" w:cs="Arial"/>
          <w:color w:val="000000"/>
        </w:rPr>
        <w:t xml:space="preserve">5) 24/8222 dijela kat. čest. 1828/4 Z.U. 16122 K.O. Split, koji je suvlasnički dio povezan s cjelinom garažnog mjesta G5-PO2, ukupne površine 24,30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  <w:color w:val="000000"/>
        </w:rPr>
      </w:pPr>
      <w:r w:rsidRPr="00F04F82">
        <w:rPr>
          <w:rFonts w:ascii="Arial" w:hAnsi="Arial" w:cs="Arial"/>
          <w:color w:val="000000"/>
        </w:rPr>
        <w:t xml:space="preserve">6) 19/8222 dijela kat. čest. 1828/4 Z.U. 16122 K.O. Split, koji je suvlasnički dio povezan s cjelinom garažnog mjesta G7-PO2, ukupne površine 19,11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  <w:color w:val="000000"/>
        </w:rPr>
      </w:pPr>
      <w:r w:rsidRPr="00F04F82">
        <w:rPr>
          <w:rFonts w:ascii="Arial" w:hAnsi="Arial" w:cs="Arial"/>
          <w:color w:val="000000"/>
        </w:rPr>
        <w:t xml:space="preserve">7) 19/8222 dijela kat. čest. 1828/4 Z.U. 16122 K.O. Split, koji je suvlasnički dio povezan s cjelinom garažnog mjesta G9-PO2, ukupne površine 19,12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  <w:color w:val="000000"/>
        </w:rPr>
        <w:t xml:space="preserve">8) 17/8222 dijela kat. čest. 1828/4 Z.U. 16122 K.O. Split, koji je suvlasnički dio povezan s cjelinom garažnog mjesta G10-PO2, ukupne površine 17,17 m2, u podrumu II. </w:t>
      </w:r>
    </w:p>
    <w:p w:rsidRPr="00F04F82" w:rsidR="00F04F82" w:rsidP="00F04F82" w:rsidRDefault="00F04F82">
      <w:pPr>
        <w:pageBreakBefore/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lastRenderedPageBreak/>
        <w:t xml:space="preserve">9) 23/8222 dijela kat. čest. 1828/4 Z.U. 16122 K.O. Split, koji je suvlasnički dio povezan s cjelinom garažnog mjesta G14-PO2, ukupne površine 23,07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t xml:space="preserve">10) 23/8222 dijela kat. čest. 1828/4 Z.U. 16122 K.O. Split, koji je suvlasnički dio povezan s cjelinom garažnog mjesta G15-PO2, ukupne površine 23,07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t xml:space="preserve">11) 23/8222 dijela kat. čest. 1828/4 Z.U. 16122 K.O. Split, koji je suvlasnički dio povezan s cjelinom garažnog mjesta G16-PO2, ukupne površine 23,07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t xml:space="preserve">12) 23/8222 dijela kat. čest. 1828/4 Z.U. 16122 K.O. Split, koji je suvlasnički dio povezan s cjelinom garažnog mjesta G17-PO2, ukupne površine 22,69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t xml:space="preserve">13) 26/8222 dijela kat. čest. 1828/4 Z.U. 16122 K.O. Split, koji je suvlasnički dio povezan s cjelinom garažnog mjesta G18-PO2, ukupne površine 26,05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t xml:space="preserve">14) 21/8222 dijela kat. čest. 1828/4 Z.U. 16122 K.O. Split, koji je suvlasnički dio povezan s cjelinom garažnog mjesta G19-PO2, ukupne površine 20,57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t xml:space="preserve">15) 13/8222dijela kat. čest. 1828/4 Z.U. 16122 K.O. Split, koji je suvlasnički dio povezan s cjelinom garažnog mjesta G20-PO2, ukupne površine 13,36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t xml:space="preserve">16) 14/8222 dijela kat. čest. 1828/4 Z.U. 16122 K.O. Split, koji je suvlasnički dio povezan s cjelinom garažnog mjesta G21-PO2, ukupne površine 13,66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t xml:space="preserve">17) 17/8222 dijela kat. čest. 1828/4 Z.U. 16122 K.O. Split, koji je suvlasnički dio povezan s cjelinom garažnog mjesta G22-PO2, ukupne površine 17,04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t xml:space="preserve">18) 26/8222 dijela kat. čest. 1828/4 Z.U. 16122 K.O. Split, koji je suvlasnički dio povezan s cjelinom garažnog mjesta G23-PO2, ukupne površine 26,39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t xml:space="preserve">19) 27/8222 dijela kat. čest. 1828/4 Z.U. 16122 K.O. Split, koji je suvlasnički dio povezan s cjelinom garažnog mjesta G24-PO2, ukupne (netto ) površine 26,91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t xml:space="preserve">20) 36/8222 dijela kat. čest. 1828/4 Z.U. 16122 K.O. Split, koji je suvlasnički dio povezan s cjelinom garažnog mjesta G25-PO2, ukupne površine 35,77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t xml:space="preserve">21) 33/8222 dijela kat. čest. 1828/4 Z.U. 16122 K.O. Split, koji je suvlasnički dio povezan s cjelinom garažnog mjesta G26-PO2, ukupne površine 33,21 m2, u podrumu II. </w:t>
      </w:r>
    </w:p>
    <w:p w:rsidR="00016ED9" w:rsidP="00016ED9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  <w:sz w:val="23"/>
          <w:szCs w:val="23"/>
        </w:rPr>
      </w:pPr>
      <w:r w:rsidRPr="00F04F82">
        <w:rPr>
          <w:rFonts w:ascii="Arial" w:hAnsi="Arial" w:cs="Arial"/>
        </w:rPr>
        <w:t>22) 24/8222 dijela kat. čest. 1828/4 Z.U. 16122 K.O. Split, koji je suvlasnički dio povezan s cjelinom garažnog mjesta G27-PO2, ukupne površine 23,75 m2, u podrumu II.</w:t>
      </w:r>
      <w:r w:rsidRPr="00F04F82">
        <w:rPr>
          <w:rFonts w:ascii="Arial" w:hAnsi="Arial" w:cs="Arial"/>
          <w:sz w:val="23"/>
          <w:szCs w:val="23"/>
        </w:rPr>
        <w:t xml:space="preserve"> </w:t>
      </w:r>
    </w:p>
    <w:p w:rsidRPr="00F04F82" w:rsidR="00F04F82" w:rsidP="00016ED9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t xml:space="preserve">23) 21/8222 dijela kat. čest. 1828/4 Z.U. 16122 K.O. Split, koji je suvlasnički dio povezan s cjelinom garažnog mjesta G28-PO2, ukupne površine 21,36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t xml:space="preserve">24) 24/8222 dijela kat. čest. 1828/4 Z.U. 16122 K.O. Split, koji je suvlasnički dio povezan s cjelinom garažnog mjesta G29-PO2, ukupne površine 23,84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lastRenderedPageBreak/>
        <w:t xml:space="preserve">25) 24/8222 dijela kat. čest. 1828/4 Z.U. 16122 K.O. Split, koji je suvlasnički dio povezan s cjelinom garažnog mjesta G31-PO2, ukupne površine 23,84 m2, u podrumu II. </w:t>
      </w:r>
    </w:p>
    <w:p w:rsidRPr="00F04F82" w:rsidR="00F04F82" w:rsidP="00F04F82" w:rsidRDefault="00F04F82">
      <w:pPr>
        <w:autoSpaceDE w:val="false"/>
        <w:autoSpaceDN w:val="false"/>
        <w:adjustRightInd w:val="false"/>
        <w:spacing w:after="0"/>
        <w:jc w:val="both"/>
        <w:rPr>
          <w:rFonts w:ascii="Arial" w:hAnsi="Arial" w:cs="Arial"/>
        </w:rPr>
      </w:pPr>
      <w:r w:rsidRPr="00F04F82">
        <w:rPr>
          <w:rFonts w:ascii="Arial" w:hAnsi="Arial" w:cs="Arial"/>
        </w:rPr>
        <w:t>26) 24/8222 dijela kat. čest. 1828/4 Z.U. 16122 K.O. Split, koji je suvlasnički dio povezan s cjelinom garažnog mjesta G33-PO2, ukupne površine 24,18 m2</w:t>
      </w:r>
      <w:r>
        <w:rPr>
          <w:rFonts w:ascii="Arial" w:hAnsi="Arial" w:cs="Arial"/>
        </w:rPr>
        <w:t>, u podrumu II.</w:t>
      </w:r>
    </w:p>
    <w:p w:rsidR="003D3C09" w:rsidP="00F04F82" w:rsidRDefault="00F04F82">
      <w:pPr>
        <w:spacing w:before="200"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Pr="00EC458D" w:rsidR="003D3C09">
        <w:rPr>
          <w:rFonts w:ascii="Arial" w:hAnsi="Arial" w:cs="Arial"/>
        </w:rPr>
        <w:t xml:space="preserve">tvrđuje se da je </w:t>
      </w:r>
      <w:r w:rsidR="008A6C1D">
        <w:rPr>
          <w:rFonts w:ascii="Arial" w:hAnsi="Arial" w:cs="Arial"/>
        </w:rPr>
        <w:t>21. lipnja 2022</w:t>
      </w:r>
      <w:r w:rsidRPr="00EC458D" w:rsidR="003D3C09">
        <w:rPr>
          <w:rFonts w:ascii="Arial" w:hAnsi="Arial" w:cs="Arial"/>
        </w:rPr>
        <w:t>. kod ovoga suda u sklopu izvješća stečajne upraviteljice zaprimljen</w:t>
      </w:r>
      <w:r w:rsidR="008A6C1D">
        <w:rPr>
          <w:rFonts w:ascii="Arial" w:hAnsi="Arial" w:cs="Arial"/>
        </w:rPr>
        <w:t>a</w:t>
      </w:r>
      <w:r w:rsidRPr="00EC458D" w:rsidR="003D3C09">
        <w:rPr>
          <w:rFonts w:ascii="Arial" w:hAnsi="Arial" w:cs="Arial"/>
        </w:rPr>
        <w:t xml:space="preserve"> </w:t>
      </w:r>
      <w:r w:rsidRPr="00EC458D" w:rsidR="00EE3BD1">
        <w:rPr>
          <w:rFonts w:ascii="Arial" w:hAnsi="Arial" w:cs="Arial"/>
        </w:rPr>
        <w:t>procj</w:t>
      </w:r>
      <w:r w:rsidR="008A6C1D">
        <w:rPr>
          <w:rFonts w:ascii="Arial" w:hAnsi="Arial" w:cs="Arial"/>
        </w:rPr>
        <w:t>ena</w:t>
      </w:r>
      <w:r w:rsidRPr="00EC458D" w:rsidR="003D3C09">
        <w:rPr>
          <w:rFonts w:ascii="Arial" w:hAnsi="Arial" w:cs="Arial"/>
        </w:rPr>
        <w:t xml:space="preserve"> </w:t>
      </w:r>
      <w:r w:rsidR="008A6C1D">
        <w:rPr>
          <w:rFonts w:ascii="Arial" w:hAnsi="Arial" w:cs="Arial"/>
        </w:rPr>
        <w:t xml:space="preserve">nekretnina </w:t>
      </w:r>
      <w:r w:rsidRPr="00EC458D" w:rsidR="003D3C09">
        <w:rPr>
          <w:rFonts w:ascii="Arial" w:hAnsi="Arial" w:cs="Arial"/>
        </w:rPr>
        <w:t xml:space="preserve">ovlaštenog sudskog vještaka za graditeljstvo i procjenu nekretnina Jure Malenice iz </w:t>
      </w:r>
      <w:r w:rsidR="008A6C1D">
        <w:rPr>
          <w:rFonts w:ascii="Arial" w:hAnsi="Arial" w:cs="Arial"/>
        </w:rPr>
        <w:t>ožujka 2022. Stečajna upraviteljica, uzimajući u obzir predmetnu procjenu, predlaže da se vrijednost nekretnina utvrdi u sljedećim iznosima:</w:t>
      </w:r>
    </w:p>
    <w:p w:rsidRPr="002058F9" w:rsidR="008A6C1D" w:rsidP="008A6C1D" w:rsidRDefault="008A6C1D">
      <w:pPr>
        <w:spacing w:before="6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 xml:space="preserve">a) kat. čest. zgr. 3317, kat. čest. zem. 9101/1 i kat. čest. zem. 9101/2, </w:t>
      </w:r>
      <w:r w:rsidR="00A72932">
        <w:rPr>
          <w:rFonts w:ascii="Arial" w:hAnsi="Arial" w:cs="Arial"/>
        </w:rPr>
        <w:t xml:space="preserve">sve čest. Z.U. 3670 K.O. Split </w:t>
      </w:r>
      <w:r w:rsidR="00CE0CFC">
        <w:rPr>
          <w:rFonts w:ascii="Arial" w:hAnsi="Arial" w:cs="Arial"/>
        </w:rPr>
        <w:t xml:space="preserve">i </w:t>
      </w:r>
      <w:r w:rsidRPr="002058F9">
        <w:rPr>
          <w:rFonts w:ascii="Arial" w:hAnsi="Arial" w:cs="Arial"/>
        </w:rPr>
        <w:t>b) kat. čest. zem. 9101/3 Z.U. 7825 K.O. Split</w:t>
      </w:r>
      <w:r w:rsidR="00CE0CFC">
        <w:rPr>
          <w:rFonts w:ascii="Arial" w:hAnsi="Arial" w:cs="Arial"/>
        </w:rPr>
        <w:t xml:space="preserve"> u ukupnom iznosu od 89</w:t>
      </w:r>
      <w:r w:rsidR="004254C6">
        <w:rPr>
          <w:rFonts w:ascii="Arial" w:hAnsi="Arial" w:cs="Arial"/>
        </w:rPr>
        <w:t>1</w:t>
      </w:r>
      <w:r w:rsidR="00CE0CFC">
        <w:rPr>
          <w:rFonts w:ascii="Arial" w:hAnsi="Arial" w:cs="Arial"/>
        </w:rPr>
        <w:t>.</w:t>
      </w:r>
      <w:r w:rsidR="004254C6">
        <w:rPr>
          <w:rFonts w:ascii="Arial" w:hAnsi="Arial" w:cs="Arial"/>
        </w:rPr>
        <w:t>000,00</w:t>
      </w:r>
      <w:r w:rsidR="00CE0CFC">
        <w:rPr>
          <w:rFonts w:ascii="Arial" w:hAnsi="Arial" w:cs="Arial"/>
        </w:rPr>
        <w:t xml:space="preserve"> kn</w:t>
      </w:r>
    </w:p>
    <w:p w:rsidR="008A6C1D" w:rsidP="008A6C1D" w:rsidRDefault="008A6C1D">
      <w:pPr>
        <w:spacing w:before="6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c) kat. čest. zgr. 1066 i kat. čest. zem. 9113/2, o</w:t>
      </w:r>
      <w:r w:rsidR="00CE0CFC">
        <w:rPr>
          <w:rFonts w:ascii="Arial" w:hAnsi="Arial" w:cs="Arial"/>
        </w:rPr>
        <w:t xml:space="preserve">bje čest. Z.U. 15431 K.O. Split u iznosu od </w:t>
      </w:r>
      <w:r w:rsidR="00D31911">
        <w:rPr>
          <w:rFonts w:ascii="Arial" w:hAnsi="Arial" w:cs="Arial"/>
        </w:rPr>
        <w:t>265</w:t>
      </w:r>
      <w:r w:rsidR="00CE0CFC">
        <w:rPr>
          <w:rFonts w:ascii="Arial" w:hAnsi="Arial" w:cs="Arial"/>
        </w:rPr>
        <w:t>.</w:t>
      </w:r>
      <w:r w:rsidR="00D31911">
        <w:rPr>
          <w:rFonts w:ascii="Arial" w:hAnsi="Arial" w:cs="Arial"/>
        </w:rPr>
        <w:t>000,00</w:t>
      </w:r>
      <w:r w:rsidR="00CE0CFC">
        <w:rPr>
          <w:rFonts w:ascii="Arial" w:hAnsi="Arial" w:cs="Arial"/>
        </w:rPr>
        <w:t xml:space="preserve"> kn.</w:t>
      </w:r>
    </w:p>
    <w:p w:rsidR="002058F9" w:rsidP="00452E99" w:rsidRDefault="00CE0CFC">
      <w:pPr>
        <w:spacing w:before="200"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Stečajna upraviteljica napominje da u odnosu na kat. čest. 9101/2 Z.U. 3670 K.O. Split koja je navedena u izvatku iz zemljišne knjige za Z.U. 3670 K.O. Split, ali nema određenu površinu i nije p</w:t>
      </w:r>
      <w:r w:rsidR="00A01380">
        <w:rPr>
          <w:rFonts w:ascii="Arial" w:hAnsi="Arial" w:cs="Arial"/>
        </w:rPr>
        <w:t>rocijenjena od strane vještaka,</w:t>
      </w:r>
      <w:r w:rsidR="00452E99">
        <w:rPr>
          <w:rFonts w:ascii="Arial" w:hAnsi="Arial" w:cs="Arial"/>
        </w:rPr>
        <w:t xml:space="preserve"> </w:t>
      </w:r>
      <w:r w:rsidRPr="00452E99" w:rsidR="00452E99">
        <w:rPr>
          <w:rFonts w:ascii="Arial" w:hAnsi="Arial" w:cs="Arial"/>
        </w:rPr>
        <w:t>jer</w:t>
      </w:r>
      <w:r w:rsidRPr="00452E99" w:rsidR="00A01380">
        <w:rPr>
          <w:rFonts w:ascii="Arial" w:hAnsi="Arial" w:cs="Arial"/>
        </w:rPr>
        <w:t xml:space="preserve"> prema  zaključku  geodeta navedena čestica nije usklađena i ne postoji u važećim katastarskim mapama. </w:t>
      </w:r>
      <w:r w:rsidRPr="00452E99" w:rsidR="003B09D0">
        <w:rPr>
          <w:rFonts w:ascii="Arial" w:hAnsi="Arial" w:cs="Arial"/>
        </w:rPr>
        <w:t>Ove  čestice  zemlje  na  terenu  su  betonski  platoi (parking)</w:t>
      </w:r>
      <w:r w:rsidR="00452E99">
        <w:rPr>
          <w:rFonts w:ascii="Arial" w:hAnsi="Arial" w:cs="Arial"/>
        </w:rPr>
        <w:t>,</w:t>
      </w:r>
      <w:r w:rsidRPr="00452E99" w:rsidR="003B09D0">
        <w:rPr>
          <w:rFonts w:ascii="Arial" w:hAnsi="Arial" w:cs="Arial"/>
        </w:rPr>
        <w:t xml:space="preserve"> a ne zgrada što je vidljivo iz vještva i geodetskog elaborata.</w:t>
      </w:r>
    </w:p>
    <w:p w:rsidR="006C45F6" w:rsidP="006C45F6" w:rsidRDefault="006C45F6">
      <w:pPr>
        <w:spacing w:after="0"/>
        <w:ind w:firstLine="708"/>
        <w:jc w:val="both"/>
        <w:rPr>
          <w:rFonts w:ascii="Arial" w:hAnsi="Arial" w:cs="Arial"/>
          <w:highlight w:val="yellow"/>
        </w:rPr>
      </w:pPr>
    </w:p>
    <w:p w:rsidRPr="00016ED9" w:rsidR="00016ED9" w:rsidP="006C45F6" w:rsidRDefault="00016ED9">
      <w:pPr>
        <w:spacing w:after="0"/>
        <w:ind w:firstLine="708"/>
        <w:jc w:val="both"/>
        <w:rPr>
          <w:rFonts w:ascii="Arial" w:hAnsi="Arial" w:cs="Arial"/>
        </w:rPr>
      </w:pPr>
      <w:r w:rsidRPr="00016ED9">
        <w:rPr>
          <w:rFonts w:ascii="Arial" w:hAnsi="Arial" w:cs="Arial"/>
        </w:rPr>
        <w:t>Razlučni vjerovnici Danko Hećimović i Republika Hrvatska, Ministarstvo financija navode da su suglasni s prijedlogom stečajne upraviteljice.</w:t>
      </w:r>
    </w:p>
    <w:p w:rsidRPr="00560782" w:rsidR="00016ED9" w:rsidP="006C45F6" w:rsidRDefault="00016ED9">
      <w:pPr>
        <w:spacing w:after="0"/>
        <w:ind w:firstLine="708"/>
        <w:jc w:val="both"/>
        <w:rPr>
          <w:rFonts w:ascii="Arial" w:hAnsi="Arial" w:cs="Arial"/>
          <w:highlight w:val="yellow"/>
        </w:rPr>
      </w:pPr>
    </w:p>
    <w:p w:rsidRPr="00560782" w:rsidR="0038233E" w:rsidP="006C45F6" w:rsidRDefault="0038233E">
      <w:pPr>
        <w:spacing w:after="0"/>
        <w:ind w:firstLine="708"/>
        <w:rPr>
          <w:rFonts w:ascii="Arial" w:hAnsi="Arial" w:cs="Arial"/>
        </w:rPr>
      </w:pPr>
      <w:r w:rsidRPr="00560782">
        <w:rPr>
          <w:rFonts w:ascii="Arial" w:hAnsi="Arial" w:cs="Arial"/>
        </w:rPr>
        <w:t>Sud donosi</w:t>
      </w:r>
    </w:p>
    <w:p w:rsidRPr="00560782" w:rsidR="006C45F6" w:rsidP="006C45F6" w:rsidRDefault="006C45F6">
      <w:pPr>
        <w:spacing w:after="0"/>
        <w:jc w:val="center"/>
        <w:rPr>
          <w:rFonts w:ascii="Arial" w:hAnsi="Arial" w:cs="Arial"/>
        </w:rPr>
      </w:pPr>
    </w:p>
    <w:p w:rsidRPr="00560782" w:rsidR="0038233E" w:rsidP="006C45F6" w:rsidRDefault="0038233E">
      <w:pPr>
        <w:spacing w:after="0"/>
        <w:jc w:val="center"/>
        <w:rPr>
          <w:rFonts w:ascii="Arial" w:hAnsi="Arial" w:cs="Arial"/>
        </w:rPr>
      </w:pPr>
      <w:r w:rsidRPr="00560782">
        <w:rPr>
          <w:rFonts w:ascii="Arial" w:hAnsi="Arial" w:cs="Arial"/>
        </w:rPr>
        <w:t>z a k l</w:t>
      </w:r>
      <w:r w:rsidR="00560782">
        <w:rPr>
          <w:rFonts w:ascii="Arial" w:hAnsi="Arial" w:cs="Arial"/>
        </w:rPr>
        <w:t xml:space="preserve"> </w:t>
      </w:r>
      <w:r w:rsidRPr="00560782">
        <w:rPr>
          <w:rFonts w:ascii="Arial" w:hAnsi="Arial" w:cs="Arial"/>
        </w:rPr>
        <w:t>j u č a k</w:t>
      </w:r>
    </w:p>
    <w:p w:rsidRPr="00560782" w:rsidR="006C45F6" w:rsidP="006C45F6" w:rsidRDefault="006C45F6">
      <w:pPr>
        <w:spacing w:after="0"/>
        <w:jc w:val="center"/>
        <w:rPr>
          <w:rFonts w:ascii="Arial" w:hAnsi="Arial" w:cs="Arial"/>
        </w:rPr>
      </w:pPr>
    </w:p>
    <w:p w:rsidRPr="00452E99" w:rsidR="00452E99" w:rsidP="00452E99" w:rsidRDefault="00452E99">
      <w:pPr>
        <w:spacing w:after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I. </w:t>
      </w:r>
      <w:r w:rsidRPr="00452E99">
        <w:rPr>
          <w:rFonts w:ascii="Arial" w:hAnsi="Arial" w:cs="Arial"/>
        </w:rPr>
        <w:t>Ročište radi izjašnjavanja o vrijednosti imovine stečajnog dužnika i to nekretnina označenih kao: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1) 25/8222 dijela kat. čest. 1828/4 Z.U. 16122 K.O. Split, koji je suvlasnički dio povezan s cjelinom garažnog mjesta G1-PO2, ukupne površine 24,62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2) 23/8222 dijela kat. čest. 1828/4 Z.U. 16122 K.O. Split, koji je suvlasnički dio povezan s cjelinom garažnog mjesta G2-PO2, ukupne površine 23,35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3) 21/8222 dijela kat. čest. 1828/4 Z.U. 16122 K.O. Split, koji je suvlasnički dio povezan s cjelinom garažnog mjesta G3-PO2, ukupne površine 21,48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 xml:space="preserve">, u podrumu II. </w:t>
      </w:r>
      <w:r w:rsidRPr="002058F9">
        <w:rPr>
          <w:rFonts w:ascii="Arial" w:hAnsi="Arial" w:cs="Arial"/>
        </w:rPr>
        <w:tab/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4) 22/8222 dijela kat. čest. 1828/4 Z.U. 16122 K.O. Split, koji je suvlasnički dio povezan s cjelinom garažnog mjesta G4-PO2, ukupne površine 21,66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 xml:space="preserve">, u podrumu II. </w:t>
      </w:r>
      <w:r w:rsidRPr="002058F9">
        <w:rPr>
          <w:rFonts w:ascii="Arial" w:hAnsi="Arial" w:cs="Arial"/>
        </w:rPr>
        <w:tab/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lastRenderedPageBreak/>
        <w:t>5) 24/8222 dijela kat. čest. 1828/4 Z.U. 16122 K.O. Split, koji je suvlasnički dio povezan s cjelinom garažnog mjesta G5-PO2, ukupne površine 24,30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6) 19/8222 dijela kat. čest. 1828/4 Z.U. 16122 K.O. Split, koji je suvlasnički dio povezan s cjelinom garažnog mjesta G7-PO2, ukupne površine 19,11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7) 19/8222 dijela kat. čest. 1828/4 Z.U. 16122 K.O. Split, koji je suvlasnički dio povezan s cjelinom garažnog mjesta G9-PO2, ukupne površine 19,12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8) 17/8222 dijela kat. čest. 1828/4 Z.U. 16122 K.O. Split, koji je suvlasnički dio povezan s cjelinom garažnog mjesta G10-PO2, ukupne površine 17,17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9) 23/8222 dijela kat. čest. 1828/4 Z.U. 16122 K.O. Split, koji je suvlasnički dio povezan s cjelinom garažnog mjesta G14-PO2, ukupne površine 23,07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10) 23/8222 dijela kat. čest. 1828/4 Z.U. 16122 K.O. Split, koji je suvlasnički dio povezan s cjelinom garažnog mjesta G15-PO2, ukupne površine 23,07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11) 23/8222 dijela kat. čest. 1828/4 Z.U. 16122 K.O. Split, koji je suvlasnički dio povezan s cjelinom garažnog mjesta G16-PO2, ukupne površine 23,07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12) 23/8222 dijela kat. čest. 1828/4 Z.U. 16122 K.O. Split, koji je suvlasnički dio povezan s cjelinom garažnog mjesta G17-PO2, ukupne površine 22,69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13) 26/8222 dijela kat. čest. 1828/4 Z.U. 16122 K.O. Split, koji je suvlasnički dio povezan s cjelinom garažnog mjesta G18-PO2, ukupne površine 26,05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14) 21/8222 dijela kat. čest. 1828/4 Z.U. 16122 K.O. Split, koji je suvlasnički dio povezan s cjelinom garažnog mjesta G19-PO2, ukupne površine 20,57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15) 13/8222dijela kat. čest. 1828/4 Z.U. 16122 K.O. Split, koji je suvlasnički dio povezan s cjelinom garažnog mjesta G20-PO2, ukupne površine 13,36 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16) 14/8222 dijela kat. čest. 1828/4 Z.U. 16122 K.O. Split, koji je suvlasnički dio povezan s cjelinom garažnog mjesta G21-PO2, ukupne površine 13,66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17) 17/8222 dijela kat. čest. 1828/4 Z.U. 16122 K.O. Split, koji je suvlasnički dio povezan s cjelinom garažnog mjesta G22-PO2, ukupne površine 17,04 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18) 26/8222 dijela kat. čest. 1828/4 Z.U. 16122 K.O. Split, koji je suvlasnički dio povezan s cjelinom garažnog mjesta G23-PO2, ukupne površine 26,39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lastRenderedPageBreak/>
        <w:t>19) 27/8222 dijela kat. čest. 1828/4 Z.U. 16122 K.O. Split, koji je suvlasnički dio povezan s cjelinom garažnog mjesta G24-PO2, ukupne (netto )  površine 26,91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20) 36/8222 dijela kat. čest. 1828/4 Z.U. 16122 K.O. Split, koji je suvlasnički dio povezan s cjelinom garažnog mjesta G25-PO2, ukupne površine 35,77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21) 33/8222 dijela kat. čest. 1828/4 Z.U. 16122 K.O. Split, koji je suvlasnički dio povezan s cjelinom garažnog mjesta G26-PO2, ukupne površine 33,21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22) 24/8222 dijela kat. čest. 1828/4 Z.U. 16122 K.O. Split, koji je suvlasnički dio povezan s cjelinom garažnog mjesta G27-PO2, ukupne površine 23,75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23) 21/8222 dijela kat. čest. 1828/4 Z.U. 16122 K.O. Split, koji je suvlasnički dio povezan s cjelinom garažnog mjesta G28-PO2, ukupne površine 21,36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24) 24/8222 dijela kat. čest. 1828/4 Z.U. 16122 K.O. Split, koji je suvlasnički dio povezan s cjelinom garažnog mjesta G29-PO2, ukupne površine 23,84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Pr="002058F9"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25) 24/8222 dijela kat. čest. 1828/4 Z.U. 16122 K.O. Split, koji je suvlasnički dio povezan s cjelinom garažnog mjesta G31-PO2, ukupne površine 23,84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</w:t>
      </w:r>
    </w:p>
    <w:p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26) 24/8222 dijela kat. čest. 1828/4 Z.U. 16122 K.O. Split, koji je suvlasnički dio povezan s cjelinom garažnog mjesta G33-PO2, ukupne površine 24,18 m</w:t>
      </w:r>
      <w:r w:rsidRPr="00567AB9">
        <w:rPr>
          <w:rFonts w:ascii="Arial" w:hAnsi="Arial" w:cs="Arial"/>
          <w:vertAlign w:val="superscript"/>
        </w:rPr>
        <w:t>2</w:t>
      </w:r>
      <w:r w:rsidRPr="002058F9">
        <w:rPr>
          <w:rFonts w:ascii="Arial" w:hAnsi="Arial" w:cs="Arial"/>
        </w:rPr>
        <w:t>, u podrumu II.,</w:t>
      </w:r>
    </w:p>
    <w:p w:rsidR="00452E99" w:rsidP="00452E99" w:rsidRDefault="00452E99">
      <w:pPr>
        <w:spacing w:before="100" w:after="0"/>
        <w:jc w:val="both"/>
        <w:rPr>
          <w:rFonts w:ascii="Arial" w:hAnsi="Arial" w:cs="Arial"/>
        </w:rPr>
      </w:pPr>
      <w:r w:rsidRPr="002058F9">
        <w:rPr>
          <w:rFonts w:ascii="Arial" w:hAnsi="Arial" w:cs="Arial"/>
        </w:rPr>
        <w:t>uknjiženog prava vlasništva BOŽEN-CO d.o.o. Spl</w:t>
      </w:r>
      <w:r>
        <w:rPr>
          <w:rFonts w:ascii="Arial" w:hAnsi="Arial" w:cs="Arial"/>
        </w:rPr>
        <w:t xml:space="preserve">it, OIB: 30689118861, za cijelo </w:t>
      </w:r>
    </w:p>
    <w:p w:rsidR="00016ED9" w:rsidP="00016ED9" w:rsidRDefault="00452E99">
      <w:pPr>
        <w:spacing w:before="100" w:after="0"/>
        <w:ind w:firstLine="708"/>
        <w:jc w:val="both"/>
        <w:rPr>
          <w:rFonts w:ascii="Arial" w:hAnsi="Arial" w:cs="Arial"/>
        </w:rPr>
      </w:pPr>
      <w:r w:rsidRPr="00452E99">
        <w:rPr>
          <w:rFonts w:ascii="Arial" w:hAnsi="Arial" w:cs="Arial"/>
        </w:rPr>
        <w:t xml:space="preserve">određuje se za dan </w:t>
      </w:r>
      <w:r w:rsidR="00016ED9">
        <w:rPr>
          <w:rFonts w:ascii="Arial" w:hAnsi="Arial" w:cs="Arial"/>
        </w:rPr>
        <w:t>7</w:t>
      </w:r>
      <w:r w:rsidRPr="00452E99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studenog</w:t>
      </w:r>
      <w:r w:rsidRPr="00452E99">
        <w:rPr>
          <w:rFonts w:ascii="Arial" w:hAnsi="Arial" w:cs="Arial"/>
        </w:rPr>
        <w:t xml:space="preserve"> 2022. u </w:t>
      </w:r>
      <w:r w:rsidR="00016ED9">
        <w:rPr>
          <w:rFonts w:ascii="Arial" w:hAnsi="Arial" w:cs="Arial"/>
        </w:rPr>
        <w:t>10</w:t>
      </w:r>
      <w:r w:rsidRPr="00452E99">
        <w:rPr>
          <w:rFonts w:ascii="Arial" w:hAnsi="Arial" w:cs="Arial"/>
        </w:rPr>
        <w:t>:00 sati i isto će se održati u sudnici br. 111/I Trgovačk</w:t>
      </w:r>
      <w:r w:rsidR="00016ED9">
        <w:rPr>
          <w:rFonts w:ascii="Arial" w:hAnsi="Arial" w:cs="Arial"/>
        </w:rPr>
        <w:t>og suda u Splitu, Sukoišanska 6, o čemu će se stranke izvijestiti objavom ovog zapisnika na mrežnoj stranici e-Oglasna ploča sudova.</w:t>
      </w:r>
    </w:p>
    <w:p w:rsidR="00016ED9" w:rsidP="00452E99" w:rsidRDefault="00016ED9">
      <w:pPr>
        <w:spacing w:before="100"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II. </w:t>
      </w:r>
      <w:r w:rsidRPr="00016ED9">
        <w:rPr>
          <w:rFonts w:ascii="Arial" w:hAnsi="Arial" w:cs="Arial"/>
        </w:rPr>
        <w:t>Utvrđuje se vrijednost:</w:t>
      </w:r>
    </w:p>
    <w:p w:rsidRPr="002058F9" w:rsidR="00016ED9" w:rsidP="00016ED9" w:rsidRDefault="00016ED9">
      <w:pPr>
        <w:spacing w:before="60"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2058F9">
        <w:rPr>
          <w:rFonts w:ascii="Arial" w:hAnsi="Arial" w:cs="Arial"/>
        </w:rPr>
        <w:t xml:space="preserve">) kat. čest. zgr. 3317, kat. čest. zem. 9101/1 i kat. čest. zem. 9101/2, </w:t>
      </w:r>
      <w:r>
        <w:rPr>
          <w:rFonts w:ascii="Arial" w:hAnsi="Arial" w:cs="Arial"/>
        </w:rPr>
        <w:t xml:space="preserve">sve čest. Z.U. 3670 K.O. Split i </w:t>
      </w:r>
      <w:r w:rsidRPr="002058F9">
        <w:rPr>
          <w:rFonts w:ascii="Arial" w:hAnsi="Arial" w:cs="Arial"/>
        </w:rPr>
        <w:t>kat. čest. zem. 9101/3 Z.U. 7825 K.O. Split</w:t>
      </w:r>
      <w:r>
        <w:rPr>
          <w:rFonts w:ascii="Arial" w:hAnsi="Arial" w:cs="Arial"/>
        </w:rPr>
        <w:t xml:space="preserve"> u ukupnom iznosu od 891.000,00 kn</w:t>
      </w:r>
    </w:p>
    <w:p w:rsidR="00016ED9" w:rsidP="00016ED9" w:rsidRDefault="00016ED9">
      <w:pPr>
        <w:spacing w:before="60" w:after="0"/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B</w:t>
      </w:r>
      <w:r w:rsidRPr="002058F9">
        <w:rPr>
          <w:rFonts w:ascii="Arial" w:hAnsi="Arial" w:cs="Arial"/>
        </w:rPr>
        <w:t>) kat. čest. zgr. 1066 i kat. čest. zem. 9113/2, o</w:t>
      </w:r>
      <w:r>
        <w:rPr>
          <w:rFonts w:ascii="Arial" w:hAnsi="Arial" w:cs="Arial"/>
        </w:rPr>
        <w:t>bje čest. Z.U. 15431 K.O. Split u iznosu od 265.000,00 kn.</w:t>
      </w:r>
    </w:p>
    <w:p w:rsidRPr="00560782" w:rsidR="00CE0CFC" w:rsidP="00016ED9" w:rsidRDefault="00CE0CFC">
      <w:pPr>
        <w:spacing w:after="0"/>
        <w:jc w:val="both"/>
        <w:rPr>
          <w:rFonts w:ascii="Arial" w:hAnsi="Arial" w:cs="Arial"/>
          <w:highlight w:val="yellow"/>
        </w:rPr>
      </w:pPr>
    </w:p>
    <w:p w:rsidRPr="00EE3BD1" w:rsidR="00E7360A" w:rsidP="006C45F6" w:rsidRDefault="007C7936">
      <w:pPr>
        <w:spacing w:after="0"/>
        <w:ind w:firstLine="709"/>
        <w:jc w:val="both"/>
        <w:rPr>
          <w:rFonts w:ascii="Arial" w:hAnsi="Arial" w:eastAsia="Times New Roman" w:cs="Arial"/>
        </w:rPr>
      </w:pPr>
      <w:r w:rsidRPr="00560782">
        <w:rPr>
          <w:rFonts w:ascii="Arial" w:hAnsi="Arial" w:eastAsia="Times New Roman" w:cs="Arial"/>
        </w:rPr>
        <w:t xml:space="preserve">Ročište dovršeno u </w:t>
      </w:r>
      <w:r w:rsidRPr="00EE3BD1" w:rsidR="004A1EAB">
        <w:rPr>
          <w:rFonts w:ascii="Arial" w:hAnsi="Arial" w:eastAsia="Times New Roman" w:cs="Arial"/>
        </w:rPr>
        <w:t>9</w:t>
      </w:r>
      <w:r w:rsidRPr="00EE3BD1" w:rsidR="00AA0243">
        <w:rPr>
          <w:rFonts w:ascii="Arial" w:hAnsi="Arial" w:eastAsia="Times New Roman" w:cs="Arial"/>
        </w:rPr>
        <w:t>:</w:t>
      </w:r>
      <w:r w:rsidR="00016ED9">
        <w:rPr>
          <w:rFonts w:ascii="Arial" w:hAnsi="Arial" w:eastAsia="Times New Roman" w:cs="Arial"/>
        </w:rPr>
        <w:t>56</w:t>
      </w:r>
      <w:r w:rsidRPr="00EE3BD1" w:rsidR="00562319">
        <w:rPr>
          <w:rFonts w:ascii="Arial" w:hAnsi="Arial" w:eastAsia="Times New Roman" w:cs="Arial"/>
        </w:rPr>
        <w:t xml:space="preserve"> </w:t>
      </w:r>
      <w:r w:rsidRPr="00EE3BD1">
        <w:rPr>
          <w:rFonts w:ascii="Arial" w:hAnsi="Arial" w:eastAsia="Times New Roman" w:cs="Arial"/>
        </w:rPr>
        <w:t>sati.</w:t>
      </w:r>
    </w:p>
    <w:p w:rsidRPr="00560782" w:rsidR="00050FE2" w:rsidP="006C45F6" w:rsidRDefault="00050FE2">
      <w:pPr>
        <w:spacing w:after="0"/>
        <w:ind w:firstLine="709"/>
        <w:jc w:val="both"/>
        <w:rPr>
          <w:rFonts w:ascii="Arial" w:hAnsi="Arial" w:eastAsia="Times New Roman" w:cs="Arial"/>
          <w:highlight w:val="yellow"/>
        </w:rPr>
      </w:pPr>
    </w:p>
    <w:p w:rsidR="00050FE2" w:rsidP="006C45F6" w:rsidRDefault="00C76E56">
      <w:pPr>
        <w:spacing w:after="0"/>
        <w:ind w:left="2126" w:firstLine="709"/>
        <w:rPr>
          <w:rFonts w:ascii="Arial" w:hAnsi="Arial" w:eastAsia="Calibri" w:cs="Arial"/>
        </w:rPr>
      </w:pPr>
      <w:r w:rsidRPr="00560782">
        <w:rPr>
          <w:rFonts w:ascii="Arial" w:hAnsi="Arial" w:eastAsia="Calibri" w:cs="Arial"/>
        </w:rPr>
        <w:t xml:space="preserve">   </w:t>
      </w:r>
      <w:r w:rsidRPr="00560782" w:rsidR="001D26E4">
        <w:rPr>
          <w:rFonts w:ascii="Arial" w:hAnsi="Arial" w:eastAsia="Calibri" w:cs="Arial"/>
        </w:rPr>
        <w:t>Sutkinja</w:t>
      </w:r>
      <w:r w:rsidRPr="00560782" w:rsidR="001D26E4">
        <w:rPr>
          <w:rFonts w:ascii="Arial" w:hAnsi="Arial" w:eastAsia="Calibri" w:cs="Arial"/>
        </w:rPr>
        <w:tab/>
        <w:t xml:space="preserve"> </w:t>
      </w:r>
      <w:r w:rsidRPr="00560782" w:rsidR="00257961">
        <w:rPr>
          <w:rFonts w:ascii="Arial" w:hAnsi="Arial" w:eastAsia="Calibri" w:cs="Arial"/>
        </w:rPr>
        <w:tab/>
        <w:t xml:space="preserve">       </w:t>
      </w:r>
      <w:r w:rsidRPr="00560782" w:rsidR="00257961">
        <w:rPr>
          <w:rFonts w:ascii="Arial" w:hAnsi="Arial" w:eastAsia="Calibri" w:cs="Arial"/>
        </w:rPr>
        <w:tab/>
      </w:r>
      <w:r w:rsidRPr="00560782" w:rsidR="00133581">
        <w:rPr>
          <w:rFonts w:ascii="Arial" w:hAnsi="Arial" w:eastAsia="Calibri" w:cs="Arial"/>
        </w:rPr>
        <w:t xml:space="preserve"> </w:t>
      </w:r>
      <w:r w:rsidRPr="00560782" w:rsidR="005F0B4C">
        <w:rPr>
          <w:rFonts w:ascii="Arial" w:hAnsi="Arial" w:eastAsia="Calibri" w:cs="Arial"/>
        </w:rPr>
        <w:t xml:space="preserve">  </w:t>
      </w:r>
      <w:r w:rsidRPr="00560782" w:rsidR="001D26E4">
        <w:rPr>
          <w:rFonts w:ascii="Arial" w:hAnsi="Arial" w:eastAsia="Calibri" w:cs="Arial"/>
        </w:rPr>
        <w:tab/>
      </w:r>
      <w:r w:rsidRPr="00560782" w:rsidR="00544605">
        <w:rPr>
          <w:rFonts w:ascii="Arial" w:hAnsi="Arial" w:eastAsia="Calibri" w:cs="Arial"/>
        </w:rPr>
        <w:t xml:space="preserve"> </w:t>
      </w:r>
      <w:r w:rsidRPr="00560782" w:rsidR="00C57604">
        <w:rPr>
          <w:rFonts w:ascii="Arial" w:hAnsi="Arial" w:eastAsia="Calibri" w:cs="Arial"/>
        </w:rPr>
        <w:t xml:space="preserve">  </w:t>
      </w:r>
      <w:r w:rsidRPr="00560782" w:rsidR="001D26E4">
        <w:rPr>
          <w:rFonts w:ascii="Arial" w:hAnsi="Arial" w:eastAsia="Calibri" w:cs="Arial"/>
        </w:rPr>
        <w:t>Stečajn</w:t>
      </w:r>
      <w:r w:rsidRPr="00560782" w:rsidR="008E0887">
        <w:rPr>
          <w:rFonts w:ascii="Arial" w:hAnsi="Arial" w:eastAsia="Calibri" w:cs="Arial"/>
        </w:rPr>
        <w:t>a</w:t>
      </w:r>
      <w:r w:rsidRPr="00560782" w:rsidR="00050FE2">
        <w:rPr>
          <w:rFonts w:ascii="Arial" w:hAnsi="Arial" w:eastAsia="Calibri" w:cs="Arial"/>
        </w:rPr>
        <w:t xml:space="preserve"> upravitelj</w:t>
      </w:r>
      <w:r w:rsidRPr="00560782" w:rsidR="008E0887">
        <w:rPr>
          <w:rFonts w:ascii="Arial" w:hAnsi="Arial" w:eastAsia="Calibri" w:cs="Arial"/>
        </w:rPr>
        <w:t>ica</w:t>
      </w:r>
    </w:p>
    <w:p w:rsidRPr="00560782" w:rsidR="00EE3BD1" w:rsidP="006C45F6" w:rsidRDefault="00EE3BD1">
      <w:pPr>
        <w:spacing w:after="0"/>
        <w:ind w:left="2126" w:firstLine="709"/>
        <w:rPr>
          <w:rFonts w:ascii="Arial" w:hAnsi="Arial" w:eastAsia="Calibri" w:cs="Arial"/>
        </w:rPr>
      </w:pPr>
    </w:p>
    <w:p w:rsidRPr="00560782" w:rsidR="004211AB" w:rsidP="006C45F6" w:rsidRDefault="004211AB">
      <w:pPr>
        <w:spacing w:after="0"/>
        <w:ind w:left="2126" w:firstLine="709"/>
        <w:rPr>
          <w:rFonts w:ascii="Arial" w:hAnsi="Arial" w:eastAsia="Calibri" w:cs="Arial"/>
        </w:rPr>
      </w:pPr>
    </w:p>
    <w:p w:rsidRPr="008E0887" w:rsidR="00763E83" w:rsidP="006C45F6" w:rsidRDefault="00050FE2">
      <w:pPr>
        <w:spacing w:after="0"/>
        <w:ind w:left="2126" w:firstLine="709"/>
        <w:rPr>
          <w:rFonts w:ascii="Arial" w:hAnsi="Arial" w:eastAsia="Calibri" w:cs="Arial"/>
        </w:rPr>
      </w:pPr>
      <w:r w:rsidRPr="00560782">
        <w:rPr>
          <w:rFonts w:ascii="Arial" w:hAnsi="Arial" w:eastAsia="Calibri" w:cs="Arial"/>
        </w:rPr>
        <w:t xml:space="preserve">Zapisničarka </w:t>
      </w:r>
      <w:r w:rsidRPr="00560782">
        <w:rPr>
          <w:rFonts w:ascii="Arial" w:hAnsi="Arial" w:eastAsia="Calibri" w:cs="Arial"/>
        </w:rPr>
        <w:tab/>
      </w:r>
      <w:r w:rsidRPr="00560782">
        <w:rPr>
          <w:rFonts w:ascii="Arial" w:hAnsi="Arial" w:eastAsia="Calibri" w:cs="Arial"/>
        </w:rPr>
        <w:tab/>
      </w:r>
      <w:r w:rsidRPr="00560782">
        <w:rPr>
          <w:rFonts w:ascii="Arial" w:hAnsi="Arial" w:eastAsia="Calibri" w:cs="Arial"/>
        </w:rPr>
        <w:tab/>
      </w:r>
      <w:r w:rsidRPr="009E2D50">
        <w:rPr>
          <w:rFonts w:ascii="Arial" w:hAnsi="Arial" w:eastAsia="Calibri" w:cs="Arial"/>
        </w:rPr>
        <w:t xml:space="preserve">      </w:t>
      </w:r>
      <w:r w:rsidRPr="009E2D50" w:rsidR="008E0887">
        <w:rPr>
          <w:rFonts w:ascii="Arial" w:hAnsi="Arial" w:eastAsia="Calibri" w:cs="Arial"/>
        </w:rPr>
        <w:tab/>
        <w:t xml:space="preserve"> </w:t>
      </w:r>
      <w:r w:rsidRPr="009E2D50">
        <w:rPr>
          <w:rFonts w:ascii="Arial" w:hAnsi="Arial" w:eastAsia="Calibri" w:cs="Arial"/>
        </w:rPr>
        <w:t xml:space="preserve">   </w:t>
      </w:r>
      <w:r w:rsidR="00EE3BD1">
        <w:rPr>
          <w:rFonts w:ascii="Arial" w:hAnsi="Arial" w:eastAsia="Calibri" w:cs="Arial"/>
        </w:rPr>
        <w:t>Vjerovni</w:t>
      </w:r>
      <w:r w:rsidR="00016ED9">
        <w:rPr>
          <w:rFonts w:ascii="Arial" w:hAnsi="Arial" w:eastAsia="Calibri" w:cs="Arial"/>
        </w:rPr>
        <w:t>ci</w:t>
      </w:r>
    </w:p>
    <w:sectPr w:rsidRPr="008E0887" w:rsidR="00763E83" w:rsidSect="00174D1C">
      <w:headerReference w:type="default" r:id="rId10"/>
      <w:headerReference w:type="first" r:id="rId11"/>
      <w:pgSz w:w="11907" w:h="16840" w:code="9"/>
      <w:pgMar w:top="1417" w:right="1417" w:bottom="1417" w:left="1417" w:header="1021" w:footer="1021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52FBC" w:rsidP="00763E83" w:rsidRDefault="00D52FBC">
      <w:pPr>
        <w:spacing w:after="0"/>
      </w:pPr>
      <w:r>
        <w:separator/>
      </w:r>
    </w:p>
  </w:endnote>
  <w:endnote w:type="continuationSeparator" w:id="0">
    <w:p w:rsidR="00D52FBC" w:rsidP="00763E83" w:rsidRDefault="00D52FBC">
      <w:pPr>
        <w:spacing w:after="0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52FBC" w:rsidP="00763E83" w:rsidRDefault="00D52FBC">
      <w:pPr>
        <w:spacing w:after="0"/>
      </w:pPr>
      <w:r>
        <w:separator/>
      </w:r>
    </w:p>
  </w:footnote>
  <w:footnote w:type="continuationSeparator" w:id="0">
    <w:p w:rsidR="00D52FBC" w:rsidP="00763E83" w:rsidRDefault="00D52FBC">
      <w:pPr>
        <w:spacing w:after="0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369987965"/>
      <w:docPartObj>
        <w:docPartGallery w:val="Page Numbers (Top of Page)"/>
        <w:docPartUnique/>
      </w:docPartObj>
    </w:sdtPr>
    <w:sdtEndPr/>
    <w:sdtContent>
      <w:p w:rsidRPr="008E0887" w:rsidR="001D26E4" w:rsidP="001D26E4" w:rsidRDefault="00305622">
        <w:pPr>
          <w:pStyle w:val="Zaglavlje"/>
          <w:spacing w:after="100"/>
          <w:ind w:firstLine="4248"/>
          <w:rPr>
            <w:rFonts w:ascii="Arial" w:hAnsi="Arial" w:cs="Arial"/>
          </w:rPr>
        </w:pPr>
        <w:r w:rsidRPr="008E0887">
          <w:rPr>
            <w:rFonts w:ascii="Arial" w:hAnsi="Arial" w:cs="Arial"/>
          </w:rPr>
          <w:fldChar w:fldCharType="begin"/>
        </w:r>
        <w:r w:rsidRPr="008E0887">
          <w:rPr>
            <w:rFonts w:ascii="Arial" w:hAnsi="Arial" w:cs="Arial"/>
          </w:rPr>
          <w:instrText>PAGE   \* MERGEFORMAT</w:instrText>
        </w:r>
        <w:r w:rsidRPr="008E0887">
          <w:rPr>
            <w:rFonts w:ascii="Arial" w:hAnsi="Arial" w:cs="Arial"/>
          </w:rPr>
          <w:fldChar w:fldCharType="separate"/>
        </w:r>
        <w:r w:rsidR="00E17952">
          <w:rPr>
            <w:rFonts w:ascii="Arial" w:hAnsi="Arial" w:cs="Arial"/>
          </w:rPr>
          <w:t>8</w:t>
        </w:r>
        <w:r w:rsidRPr="008E0887">
          <w:rPr>
            <w:rFonts w:ascii="Arial" w:hAnsi="Arial" w:cs="Arial"/>
          </w:rPr>
          <w:fldChar w:fldCharType="end"/>
        </w:r>
        <w:r w:rsidR="003A7508">
          <w:tab/>
        </w:r>
        <w:r w:rsidRPr="008E0887" w:rsidR="001D26E4">
          <w:rPr>
            <w:rFonts w:ascii="Arial" w:hAnsi="Arial" w:cs="Arial"/>
          </w:rPr>
          <w:t>Poslovni broj: 11.St-</w:t>
        </w:r>
        <w:r w:rsidRPr="008E0887" w:rsidR="006921AB">
          <w:rPr>
            <w:rFonts w:ascii="Arial" w:hAnsi="Arial" w:cs="Arial"/>
          </w:rPr>
          <w:t>6</w:t>
        </w:r>
        <w:r w:rsidR="008E0887">
          <w:rPr>
            <w:rFonts w:ascii="Arial" w:hAnsi="Arial" w:cs="Arial"/>
          </w:rPr>
          <w:t>3/2015</w:t>
        </w:r>
      </w:p>
      <w:p w:rsidR="00305622" w:rsidP="001D26E4" w:rsidRDefault="00E17952">
        <w:pPr>
          <w:pStyle w:val="Zaglavlje"/>
          <w:spacing w:after="100"/>
          <w:ind w:firstLine="4248"/>
        </w:pPr>
      </w:p>
    </w:sdtContent>
  </w:sdt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8E0887" w:rsidR="00305622" w:rsidP="00D57A68" w:rsidRDefault="003A7508">
    <w:pPr>
      <w:pStyle w:val="Zaglavlje"/>
      <w:rPr>
        <w:rFonts w:ascii="Arial" w:hAnsi="Arial" w:cs="Arial"/>
      </w:rPr>
    </w:pPr>
    <w:r w:rsidRPr="008E0887">
      <w:rPr>
        <w:rFonts w:ascii="Arial" w:hAnsi="Arial" w:cs="Arial"/>
      </w:rPr>
      <w:t>Poslovni broj: 11.St-</w:t>
    </w:r>
    <w:r w:rsidR="008E0887">
      <w:rPr>
        <w:rFonts w:ascii="Arial" w:hAnsi="Arial" w:cs="Arial"/>
      </w:rPr>
      <w:t>63/2015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FF5EA9"/>
    <w:multiLevelType w:val="hybridMultilevel"/>
    <w:tmpl w:val="21A88884"/>
    <w:lvl w:ilvl="0" w:tplc="6CE047F6">
      <w:start w:val="1"/>
      <w:numFmt w:val="lowerLetter"/>
      <w:lvlText w:val="%1)"/>
      <w:lvlJc w:val="left"/>
      <w:pPr>
        <w:ind w:left="1068" w:hanging="360"/>
      </w:pPr>
      <w:rPr>
        <w:rFonts w:hint="default" w:cstheme="minorBidi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4CE112F3"/>
    <w:multiLevelType w:val="hybridMultilevel"/>
    <w:tmpl w:val="4E6AA7F0"/>
    <w:lvl w:ilvl="0" w:tplc="68FC2AE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EB5401C"/>
    <w:multiLevelType w:val="multilevel"/>
    <w:tmpl w:val="4364B0D0"/>
    <w:lvl w:ilvl="0">
      <w:start w:val="1"/>
      <w:numFmt w:val="decimal"/>
      <w:pStyle w:val="Naslov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slov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Naslov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Naslov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Naslov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Naslov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Naslov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Naslov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Naslov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2"/>
  </w:num>
  <w:num w:numId="2">
    <w:abstractNumId w:val="0"/>
  </w:num>
  <w:num w:numId="3">
    <w:abstractNumId w:val="1"/>
  </w:num>
  <w:numIdMacAtCleanup w:val="1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spidmax="1433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38A5"/>
    <w:rsid w:val="00016ED9"/>
    <w:rsid w:val="00037CF0"/>
    <w:rsid w:val="00042A58"/>
    <w:rsid w:val="00050FE2"/>
    <w:rsid w:val="00054F8F"/>
    <w:rsid w:val="000562BC"/>
    <w:rsid w:val="000613DC"/>
    <w:rsid w:val="0006510B"/>
    <w:rsid w:val="00087641"/>
    <w:rsid w:val="00096475"/>
    <w:rsid w:val="00097019"/>
    <w:rsid w:val="00097AB2"/>
    <w:rsid w:val="000A7AFE"/>
    <w:rsid w:val="000B0E4A"/>
    <w:rsid w:val="000C5957"/>
    <w:rsid w:val="000D1D50"/>
    <w:rsid w:val="000E105D"/>
    <w:rsid w:val="000E2AB2"/>
    <w:rsid w:val="000F3413"/>
    <w:rsid w:val="000F4459"/>
    <w:rsid w:val="000F59E8"/>
    <w:rsid w:val="00106691"/>
    <w:rsid w:val="00127D0A"/>
    <w:rsid w:val="00133581"/>
    <w:rsid w:val="00142FCE"/>
    <w:rsid w:val="0014395F"/>
    <w:rsid w:val="00174D1C"/>
    <w:rsid w:val="0018633D"/>
    <w:rsid w:val="001878AC"/>
    <w:rsid w:val="00187954"/>
    <w:rsid w:val="001A563A"/>
    <w:rsid w:val="001B077D"/>
    <w:rsid w:val="001D0ABC"/>
    <w:rsid w:val="001D26E4"/>
    <w:rsid w:val="001D3CF0"/>
    <w:rsid w:val="001E7155"/>
    <w:rsid w:val="001E7CE7"/>
    <w:rsid w:val="001F0AEE"/>
    <w:rsid w:val="002058F9"/>
    <w:rsid w:val="00216889"/>
    <w:rsid w:val="00216DDA"/>
    <w:rsid w:val="00240351"/>
    <w:rsid w:val="00257961"/>
    <w:rsid w:val="00261EEB"/>
    <w:rsid w:val="0026531A"/>
    <w:rsid w:val="00270B9A"/>
    <w:rsid w:val="002B6EF2"/>
    <w:rsid w:val="002E7E20"/>
    <w:rsid w:val="002F7963"/>
    <w:rsid w:val="002F79A0"/>
    <w:rsid w:val="00302A1A"/>
    <w:rsid w:val="00303123"/>
    <w:rsid w:val="00305622"/>
    <w:rsid w:val="00306965"/>
    <w:rsid w:val="00320D46"/>
    <w:rsid w:val="003266BF"/>
    <w:rsid w:val="00357172"/>
    <w:rsid w:val="00360CDF"/>
    <w:rsid w:val="003613E7"/>
    <w:rsid w:val="003670FF"/>
    <w:rsid w:val="00380D33"/>
    <w:rsid w:val="0038233E"/>
    <w:rsid w:val="00384B11"/>
    <w:rsid w:val="00387D03"/>
    <w:rsid w:val="00391FFA"/>
    <w:rsid w:val="003A4CB2"/>
    <w:rsid w:val="003A7508"/>
    <w:rsid w:val="003B09D0"/>
    <w:rsid w:val="003B0BFF"/>
    <w:rsid w:val="003C1181"/>
    <w:rsid w:val="003D3C09"/>
    <w:rsid w:val="003E0647"/>
    <w:rsid w:val="003E11F9"/>
    <w:rsid w:val="004211AB"/>
    <w:rsid w:val="004254C6"/>
    <w:rsid w:val="00431275"/>
    <w:rsid w:val="00431775"/>
    <w:rsid w:val="00442239"/>
    <w:rsid w:val="00450CCE"/>
    <w:rsid w:val="00452E99"/>
    <w:rsid w:val="004629D5"/>
    <w:rsid w:val="004630DC"/>
    <w:rsid w:val="00487AFF"/>
    <w:rsid w:val="00490762"/>
    <w:rsid w:val="00492611"/>
    <w:rsid w:val="00494210"/>
    <w:rsid w:val="004A04D1"/>
    <w:rsid w:val="004A1EAB"/>
    <w:rsid w:val="004B57EE"/>
    <w:rsid w:val="004C3C0E"/>
    <w:rsid w:val="004C5271"/>
    <w:rsid w:val="004D3EE3"/>
    <w:rsid w:val="004E55C8"/>
    <w:rsid w:val="004F3EF5"/>
    <w:rsid w:val="00500A0A"/>
    <w:rsid w:val="005173FB"/>
    <w:rsid w:val="00520C6E"/>
    <w:rsid w:val="00524D46"/>
    <w:rsid w:val="00537F92"/>
    <w:rsid w:val="00544605"/>
    <w:rsid w:val="005540A4"/>
    <w:rsid w:val="00560782"/>
    <w:rsid w:val="00562319"/>
    <w:rsid w:val="005624C5"/>
    <w:rsid w:val="0056309D"/>
    <w:rsid w:val="00567AB9"/>
    <w:rsid w:val="00571EE2"/>
    <w:rsid w:val="005720CF"/>
    <w:rsid w:val="00591C36"/>
    <w:rsid w:val="00597122"/>
    <w:rsid w:val="00597A1A"/>
    <w:rsid w:val="005A4147"/>
    <w:rsid w:val="005B5AE5"/>
    <w:rsid w:val="005B6518"/>
    <w:rsid w:val="005B6CB7"/>
    <w:rsid w:val="005C566B"/>
    <w:rsid w:val="005D3777"/>
    <w:rsid w:val="005D5B64"/>
    <w:rsid w:val="005F0B4C"/>
    <w:rsid w:val="005F585D"/>
    <w:rsid w:val="006005F6"/>
    <w:rsid w:val="0060494F"/>
    <w:rsid w:val="00605568"/>
    <w:rsid w:val="006061D0"/>
    <w:rsid w:val="00617275"/>
    <w:rsid w:val="00634AA2"/>
    <w:rsid w:val="00635457"/>
    <w:rsid w:val="0065109D"/>
    <w:rsid w:val="00651432"/>
    <w:rsid w:val="00652FEA"/>
    <w:rsid w:val="00655070"/>
    <w:rsid w:val="00662C99"/>
    <w:rsid w:val="006777E9"/>
    <w:rsid w:val="00687456"/>
    <w:rsid w:val="006918A3"/>
    <w:rsid w:val="006921AB"/>
    <w:rsid w:val="006941B7"/>
    <w:rsid w:val="006A06D7"/>
    <w:rsid w:val="006A3256"/>
    <w:rsid w:val="006B2DE8"/>
    <w:rsid w:val="006B5E25"/>
    <w:rsid w:val="006C45F6"/>
    <w:rsid w:val="006C526E"/>
    <w:rsid w:val="006D1C11"/>
    <w:rsid w:val="006F012D"/>
    <w:rsid w:val="006F49AB"/>
    <w:rsid w:val="007152D5"/>
    <w:rsid w:val="00721E21"/>
    <w:rsid w:val="00724A54"/>
    <w:rsid w:val="00751758"/>
    <w:rsid w:val="007544D1"/>
    <w:rsid w:val="00763E83"/>
    <w:rsid w:val="007652BD"/>
    <w:rsid w:val="00777090"/>
    <w:rsid w:val="0077778F"/>
    <w:rsid w:val="007A497C"/>
    <w:rsid w:val="007C7936"/>
    <w:rsid w:val="007F6D8B"/>
    <w:rsid w:val="00801CD3"/>
    <w:rsid w:val="00810BBC"/>
    <w:rsid w:val="00824F30"/>
    <w:rsid w:val="0082759E"/>
    <w:rsid w:val="0083755C"/>
    <w:rsid w:val="00846A1E"/>
    <w:rsid w:val="00847F5A"/>
    <w:rsid w:val="00854636"/>
    <w:rsid w:val="008938BF"/>
    <w:rsid w:val="00893B30"/>
    <w:rsid w:val="008A6C1D"/>
    <w:rsid w:val="008C28EF"/>
    <w:rsid w:val="008C534D"/>
    <w:rsid w:val="008C5D37"/>
    <w:rsid w:val="008D0FA2"/>
    <w:rsid w:val="008D1046"/>
    <w:rsid w:val="008D26A5"/>
    <w:rsid w:val="008E0887"/>
    <w:rsid w:val="008E5B08"/>
    <w:rsid w:val="008F57C9"/>
    <w:rsid w:val="008F6468"/>
    <w:rsid w:val="00904B32"/>
    <w:rsid w:val="00905DCE"/>
    <w:rsid w:val="009211B9"/>
    <w:rsid w:val="00927687"/>
    <w:rsid w:val="00930D17"/>
    <w:rsid w:val="00931F8B"/>
    <w:rsid w:val="009375D0"/>
    <w:rsid w:val="009432D0"/>
    <w:rsid w:val="009511AA"/>
    <w:rsid w:val="00970D0F"/>
    <w:rsid w:val="00990F99"/>
    <w:rsid w:val="009B0AAD"/>
    <w:rsid w:val="009C4A10"/>
    <w:rsid w:val="009C526C"/>
    <w:rsid w:val="009C6666"/>
    <w:rsid w:val="009D40DB"/>
    <w:rsid w:val="009E011C"/>
    <w:rsid w:val="009E2164"/>
    <w:rsid w:val="009E2D50"/>
    <w:rsid w:val="009E57C2"/>
    <w:rsid w:val="009F5AFA"/>
    <w:rsid w:val="00A01380"/>
    <w:rsid w:val="00A1340E"/>
    <w:rsid w:val="00A27066"/>
    <w:rsid w:val="00A3671C"/>
    <w:rsid w:val="00A458F9"/>
    <w:rsid w:val="00A45F20"/>
    <w:rsid w:val="00A5233F"/>
    <w:rsid w:val="00A72932"/>
    <w:rsid w:val="00AA0243"/>
    <w:rsid w:val="00AC0F7C"/>
    <w:rsid w:val="00AD60C3"/>
    <w:rsid w:val="00AF1156"/>
    <w:rsid w:val="00B26E78"/>
    <w:rsid w:val="00B43AAE"/>
    <w:rsid w:val="00B44F54"/>
    <w:rsid w:val="00B5018C"/>
    <w:rsid w:val="00B50DF7"/>
    <w:rsid w:val="00B61FE4"/>
    <w:rsid w:val="00B6509C"/>
    <w:rsid w:val="00B76135"/>
    <w:rsid w:val="00B90AEB"/>
    <w:rsid w:val="00B93D0E"/>
    <w:rsid w:val="00BC722D"/>
    <w:rsid w:val="00BD1CB2"/>
    <w:rsid w:val="00BE01BE"/>
    <w:rsid w:val="00BE02F6"/>
    <w:rsid w:val="00BE3E2B"/>
    <w:rsid w:val="00BE6201"/>
    <w:rsid w:val="00BF392F"/>
    <w:rsid w:val="00C25BD1"/>
    <w:rsid w:val="00C45736"/>
    <w:rsid w:val="00C4752F"/>
    <w:rsid w:val="00C52E58"/>
    <w:rsid w:val="00C57604"/>
    <w:rsid w:val="00C63F4E"/>
    <w:rsid w:val="00C66943"/>
    <w:rsid w:val="00C67C96"/>
    <w:rsid w:val="00C76E56"/>
    <w:rsid w:val="00C8316B"/>
    <w:rsid w:val="00C85A38"/>
    <w:rsid w:val="00C94D51"/>
    <w:rsid w:val="00CA4331"/>
    <w:rsid w:val="00CB2591"/>
    <w:rsid w:val="00CC0959"/>
    <w:rsid w:val="00CC2028"/>
    <w:rsid w:val="00CD2989"/>
    <w:rsid w:val="00CE0980"/>
    <w:rsid w:val="00CE0CFC"/>
    <w:rsid w:val="00CE5296"/>
    <w:rsid w:val="00CE6D24"/>
    <w:rsid w:val="00D04C02"/>
    <w:rsid w:val="00D1420A"/>
    <w:rsid w:val="00D143A7"/>
    <w:rsid w:val="00D14EFB"/>
    <w:rsid w:val="00D31911"/>
    <w:rsid w:val="00D3509D"/>
    <w:rsid w:val="00D5126E"/>
    <w:rsid w:val="00D52FBC"/>
    <w:rsid w:val="00D57A68"/>
    <w:rsid w:val="00D6365D"/>
    <w:rsid w:val="00D76EC8"/>
    <w:rsid w:val="00D80B28"/>
    <w:rsid w:val="00D858D7"/>
    <w:rsid w:val="00D93E74"/>
    <w:rsid w:val="00DB49BB"/>
    <w:rsid w:val="00DC647B"/>
    <w:rsid w:val="00DD6318"/>
    <w:rsid w:val="00DD78C0"/>
    <w:rsid w:val="00DE07A1"/>
    <w:rsid w:val="00DE3120"/>
    <w:rsid w:val="00DE6F89"/>
    <w:rsid w:val="00E15BC9"/>
    <w:rsid w:val="00E16281"/>
    <w:rsid w:val="00E164BC"/>
    <w:rsid w:val="00E17952"/>
    <w:rsid w:val="00E268E1"/>
    <w:rsid w:val="00E359E6"/>
    <w:rsid w:val="00E35E26"/>
    <w:rsid w:val="00E438A5"/>
    <w:rsid w:val="00E53AF5"/>
    <w:rsid w:val="00E553C1"/>
    <w:rsid w:val="00E67F51"/>
    <w:rsid w:val="00E735CA"/>
    <w:rsid w:val="00E7360A"/>
    <w:rsid w:val="00E761C3"/>
    <w:rsid w:val="00E82D85"/>
    <w:rsid w:val="00E83925"/>
    <w:rsid w:val="00EA4C82"/>
    <w:rsid w:val="00EA5AEC"/>
    <w:rsid w:val="00EC218B"/>
    <w:rsid w:val="00EC458D"/>
    <w:rsid w:val="00EE3BD1"/>
    <w:rsid w:val="00EE4892"/>
    <w:rsid w:val="00EE718C"/>
    <w:rsid w:val="00EF2899"/>
    <w:rsid w:val="00F01292"/>
    <w:rsid w:val="00F04F82"/>
    <w:rsid w:val="00F05462"/>
    <w:rsid w:val="00F06939"/>
    <w:rsid w:val="00F414FC"/>
    <w:rsid w:val="00F420D7"/>
    <w:rsid w:val="00F45410"/>
    <w:rsid w:val="00F511B5"/>
    <w:rsid w:val="00F75E30"/>
    <w:rsid w:val="00F76F13"/>
    <w:rsid w:val="00F94DEA"/>
    <w:rsid w:val="00FA635F"/>
    <w:rsid w:val="00FC6C9C"/>
    <w:rsid w:val="00FE3971"/>
    <w:rsid w:val="00FE4539"/>
    <w:rsid w:val="00FE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4337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0" w:qFormat="true"/>
    <w:lsdException w:name="heading 6" w:uiPriority="0" w:qFormat="true"/>
    <w:lsdException w:name="heading 7" w:uiPriority="0" w:qFormat="true"/>
    <w:lsdException w:name="heading 8" w:uiPriority="0" w:qFormat="true"/>
    <w:lsdException w:name="heading 9" w:uiPriority="0" w:qFormat="true"/>
    <w:lsdException w:name="List" w:uiPriority="0" w:qFormat="true"/>
    <w:lsdException w:name="List Bullet" w:uiPriority="0" w:qFormat="true"/>
    <w:lsdException w:name="List Number" w:uiPriority="0" w:qFormat="true"/>
    <w:lsdException w:name="List 2" w:uiPriority="0"/>
    <w:lsdException w:name="List 3" w:uiPriority="0"/>
    <w:lsdException w:name="List 4" w:uiPriority="0"/>
    <w:lsdException w:name="List 5" w:uiPriority="0"/>
    <w:lsdException w:name="List Bullet 2" w:uiPriority="0" w:qFormat="true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uiPriority="10" w:semiHidden="false" w:unhideWhenUsed="false" w:qFormat="true"/>
    <w:lsdException w:name="Default Paragraph Font" w:uiPriority="1"/>
    <w:lsdException w:name="List Continue" w:uiPriority="0" w:qFormat="true"/>
    <w:lsdException w:name="List Continue 2" w:uiPriority="0" w:qFormat="true"/>
    <w:lsdException w:name="List Continue 3" w:uiPriority="0"/>
    <w:lsdException w:name="List Continue 4" w:uiPriority="0"/>
    <w:lsdException w:name="List Continue 5" w:uiPriority="0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Normal (Web)" w:uiPriority="0"/>
    <w:lsdException w:name="Table Grid" w:uiPriority="59" w:semiHidden="false" w:unhideWhenUsed="false"/>
    <w:lsdException w:name="No Spacing" w:uiPriority="0" w:qFormat="true"/>
    <w:lsdException w:name="Light Shading" w:semiHidden="false" w:unhideWhenUsed="false"/>
    <w:lsdException w:name="Light List" w:semiHidden="false" w:unhideWhenUsed="false"/>
    <w:lsdException w:name="Light Grid" w:semiHidden="false" w:unhideWhenUsed="false"/>
    <w:lsdException w:name="Medium Shading 1" w:semiHidden="false" w:unhideWhenUsed="false"/>
    <w:lsdException w:name="Medium Shading 2" w:semiHidden="false" w:unhideWhenUsed="false"/>
    <w:lsdException w:name="Medium List 1" w:semiHidden="false" w:unhideWhenUsed="false"/>
    <w:lsdException w:name="Medium List 2" w:semiHidden="false" w:unhideWhenUsed="false"/>
    <w:lsdException w:name="Medium Grid 1" w:semiHidden="false" w:unhideWhenUsed="false"/>
    <w:lsdException w:name="Medium Grid 2" w:semiHidden="false" w:unhideWhenUsed="false"/>
    <w:lsdException w:name="Medium Grid 3" w:semiHidden="false" w:unhideWhenUsed="false"/>
    <w:lsdException w:name="Dark List" w:semiHidden="false" w:unhideWhenUsed="false"/>
    <w:lsdException w:name="Colorful Shading" w:semiHidden="false" w:unhideWhenUsed="false"/>
    <w:lsdException w:name="Colorful List" w:semiHidden="false" w:unhideWhenUsed="false"/>
    <w:lsdException w:name="Colorful Grid" w:semiHidden="false" w:unhideWhenUsed="false"/>
    <w:lsdException w:name="Light Shading Accent 1" w:semiHidden="false" w:unhideWhenUsed="false"/>
    <w:lsdException w:name="Light List Accent 1" w:semiHidden="false" w:unhideWhenUsed="false"/>
    <w:lsdException w:name="Light Grid Accent 1" w:semiHidden="false" w:unhideWhenUsed="false"/>
    <w:lsdException w:name="Medium Shading 1 Accent 1" w:semiHidden="false" w:unhideWhenUsed="false"/>
    <w:lsdException w:name="Medium Shading 2 Accent 1" w:semiHidden="false" w:unhideWhenUsed="false"/>
    <w:lsdException w:name="Medium List 1 Accent 1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/>
    <w:lsdException w:name="Intense Quote" w:uiPriority="30" w:semiHidden="false" w:unhideWhenUsed="false"/>
    <w:lsdException w:name="Medium List 2 Accent 1" w:semiHidden="false" w:unhideWhenUsed="false"/>
    <w:lsdException w:name="Medium Grid 1 Accent 1" w:semiHidden="false" w:unhideWhenUsed="false"/>
    <w:lsdException w:name="Medium Grid 2 Accent 1" w:semiHidden="false" w:unhideWhenUsed="false"/>
    <w:lsdException w:name="Medium Grid 3 Accent 1" w:semiHidden="false" w:unhideWhenUsed="false"/>
    <w:lsdException w:name="Dark List Accent 1" w:semiHidden="false" w:unhideWhenUsed="false"/>
    <w:lsdException w:name="Colorful Shading Accent 1" w:semiHidden="false" w:unhideWhenUsed="false"/>
    <w:lsdException w:name="Colorful List Accent 1" w:semiHidden="false" w:unhideWhenUsed="false"/>
    <w:lsdException w:name="Colorful Grid Accent 1" w:semiHidden="false" w:unhideWhenUsed="false"/>
    <w:lsdException w:name="Light Shading Accent 2" w:semiHidden="false" w:unhideWhenUsed="false"/>
    <w:lsdException w:name="Light List Accent 2" w:semiHidden="false" w:unhideWhenUsed="false"/>
    <w:lsdException w:name="Light Grid Accent 2" w:semiHidden="false" w:unhideWhenUsed="false"/>
    <w:lsdException w:name="Medium Shading 1 Accent 2" w:semiHidden="false" w:unhideWhenUsed="false"/>
    <w:lsdException w:name="Medium Shading 2 Accent 2" w:semiHidden="false" w:unhideWhenUsed="false"/>
    <w:lsdException w:name="Medium List 1 Accent 2" w:semiHidden="false" w:unhideWhenUsed="false"/>
    <w:lsdException w:name="Medium List 2 Accent 2" w:semiHidden="false" w:unhideWhenUsed="false"/>
    <w:lsdException w:name="Medium Grid 1 Accent 2" w:semiHidden="false" w:unhideWhenUsed="false"/>
    <w:lsdException w:name="Medium Grid 2 Accent 2" w:semiHidden="false" w:unhideWhenUsed="false"/>
    <w:lsdException w:name="Medium Grid 3 Accent 2" w:semiHidden="false" w:unhideWhenUsed="false"/>
    <w:lsdException w:name="Dark List Accent 2" w:semiHidden="false" w:unhideWhenUsed="false"/>
    <w:lsdException w:name="Colorful Shading Accent 2" w:semiHidden="false" w:unhideWhenUsed="false"/>
    <w:lsdException w:name="Colorful List Accent 2" w:semiHidden="false" w:unhideWhenUsed="false"/>
    <w:lsdException w:name="Colorful Grid Accent 2" w:semiHidden="false" w:unhideWhenUsed="false"/>
    <w:lsdException w:name="Light Shading Accent 3" w:semiHidden="false" w:unhideWhenUsed="false"/>
    <w:lsdException w:name="Light List Accent 3" w:semiHidden="false" w:unhideWhenUsed="false"/>
    <w:lsdException w:name="Light Grid Accent 3" w:semiHidden="false" w:unhideWhenUsed="false"/>
    <w:lsdException w:name="Medium Shading 1 Accent 3" w:semiHidden="false" w:unhideWhenUsed="false"/>
    <w:lsdException w:name="Medium Shading 2 Accent 3" w:semiHidden="false" w:unhideWhenUsed="false"/>
    <w:lsdException w:name="Medium List 1 Accent 3" w:semiHidden="false" w:unhideWhenUsed="false"/>
    <w:lsdException w:name="Medium List 2 Accent 3" w:semiHidden="false" w:unhideWhenUsed="false"/>
    <w:lsdException w:name="Medium Grid 1 Accent 3" w:semiHidden="false" w:unhideWhenUsed="false"/>
    <w:lsdException w:name="Medium Grid 2 Accent 3" w:semiHidden="false" w:unhideWhenUsed="false"/>
    <w:lsdException w:name="Medium Grid 3 Accent 3" w:semiHidden="false" w:unhideWhenUsed="false"/>
    <w:lsdException w:name="Dark List Accent 3" w:semiHidden="false" w:unhideWhenUsed="false"/>
    <w:lsdException w:name="Colorful Shading Accent 3" w:semiHidden="false" w:unhideWhenUsed="false"/>
    <w:lsdException w:name="Colorful List Accent 3" w:semiHidden="false" w:unhideWhenUsed="false"/>
    <w:lsdException w:name="Colorful Grid Accent 3" w:semiHidden="false" w:unhideWhenUsed="false"/>
    <w:lsdException w:name="Light Shading Accent 4" w:semiHidden="false" w:unhideWhenUsed="false"/>
    <w:lsdException w:name="Light List Accent 4" w:semiHidden="false" w:unhideWhenUsed="false"/>
    <w:lsdException w:name="Light Grid Accent 4" w:semiHidden="false" w:unhideWhenUsed="false"/>
    <w:lsdException w:name="Medium Shading 1 Accent 4" w:semiHidden="false" w:unhideWhenUsed="false"/>
    <w:lsdException w:name="Medium Shading 2 Accent 4" w:semiHidden="false" w:unhideWhenUsed="false"/>
    <w:lsdException w:name="Medium List 1 Accent 4" w:semiHidden="false" w:unhideWhenUsed="false"/>
    <w:lsdException w:name="Medium List 2 Accent 4" w:semiHidden="false" w:unhideWhenUsed="false"/>
    <w:lsdException w:name="Medium Grid 1 Accent 4" w:semiHidden="false" w:unhideWhenUsed="false"/>
    <w:lsdException w:name="Medium Grid 2 Accent 4" w:semiHidden="false" w:unhideWhenUsed="false"/>
    <w:lsdException w:name="Medium Grid 3 Accent 4" w:semiHidden="false" w:unhideWhenUsed="false"/>
    <w:lsdException w:name="Dark List Accent 4" w:semiHidden="false" w:unhideWhenUsed="false"/>
    <w:lsdException w:name="Colorful Shading Accent 4" w:semiHidden="false" w:unhideWhenUsed="false"/>
    <w:lsdException w:name="Colorful List Accent 4" w:semiHidden="false" w:unhideWhenUsed="false"/>
    <w:lsdException w:name="Colorful Grid Accent 4" w:semiHidden="false" w:unhideWhenUsed="false"/>
    <w:lsdException w:name="Light Shading Accent 5" w:semiHidden="false" w:unhideWhenUsed="false"/>
    <w:lsdException w:name="Light List Accent 5" w:semiHidden="false" w:unhideWhenUsed="false"/>
    <w:lsdException w:name="Light Grid Accent 5" w:semiHidden="false" w:unhideWhenUsed="false"/>
    <w:lsdException w:name="Medium Shading 1 Accent 5" w:semiHidden="false" w:unhideWhenUsed="false"/>
    <w:lsdException w:name="Medium Shading 2 Accent 5" w:semiHidden="false" w:unhideWhenUsed="false"/>
    <w:lsdException w:name="Medium List 1 Accent 5" w:semiHidden="false" w:unhideWhenUsed="false"/>
    <w:lsdException w:name="Medium List 2 Accent 5" w:semiHidden="false" w:unhideWhenUsed="false"/>
    <w:lsdException w:name="Medium Grid 1 Accent 5" w:semiHidden="false" w:unhideWhenUsed="false"/>
    <w:lsdException w:name="Medium Grid 2 Accent 5" w:semiHidden="false" w:unhideWhenUsed="false"/>
    <w:lsdException w:name="Medium Grid 3 Accent 5" w:semiHidden="false" w:unhideWhenUsed="false"/>
    <w:lsdException w:name="Dark List Accent 5" w:semiHidden="false" w:unhideWhenUsed="false"/>
    <w:lsdException w:name="Colorful Shading Accent 5" w:semiHidden="false" w:unhideWhenUsed="false"/>
    <w:lsdException w:name="Colorful List Accent 5" w:semiHidden="false" w:unhideWhenUsed="false"/>
    <w:lsdException w:name="Colorful Grid Accent 5" w:semiHidden="false" w:unhideWhenUsed="false"/>
    <w:lsdException w:name="Light Shading Accent 6" w:semiHidden="false" w:unhideWhenUsed="false"/>
    <w:lsdException w:name="Light List Accent 6" w:semiHidden="false" w:unhideWhenUsed="false"/>
    <w:lsdException w:name="Light Grid Accent 6" w:semiHidden="false" w:unhideWhenUsed="false"/>
    <w:lsdException w:name="Medium Shading 1 Accent 6" w:semiHidden="false" w:unhideWhenUsed="false"/>
    <w:lsdException w:name="Medium Shading 2 Accent 6" w:semiHidden="false" w:unhideWhenUsed="false"/>
    <w:lsdException w:name="Medium List 1 Accent 6" w:semiHidden="false" w:unhideWhenUsed="false"/>
    <w:lsdException w:name="Medium List 2 Accent 6" w:semiHidden="false" w:unhideWhenUsed="false"/>
    <w:lsdException w:name="Medium Grid 1 Accent 6" w:semiHidden="false" w:unhideWhenUsed="false"/>
    <w:lsdException w:name="Medium Grid 2 Accent 6" w:semiHidden="false" w:unhideWhenUsed="false"/>
    <w:lsdException w:name="Medium Grid 3 Accent 6" w:semiHidden="false" w:unhideWhenUsed="false"/>
    <w:lsdException w:name="Dark List Accent 6" w:semiHidden="false" w:unhideWhenUsed="false"/>
    <w:lsdException w:name="Colorful Shading Accent 6" w:semiHidden="false" w:unhideWhenUsed="false"/>
    <w:lsdException w:name="Colorful List Accent 6" w:semiHidden="false" w:unhideWhenUsed="false"/>
    <w:lsdException w:name="Colorful Grid Accent 6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semiHidden="false" w:unhideWhenUsed="false"/>
    <w:lsdException w:name="Intense Reference" w:semiHidden="false" w:unhideWhenUsed="false"/>
    <w:lsdException w:name="Book Title" w:semiHidden="false" w:unhideWhenUsed="false"/>
  </w:latentStyles>
  <w:style w:type="paragraph" w:styleId="Normal" w:default="true">
    <w:name w:val="Normal"/>
    <w:qFormat/>
    <w:rsid w:val="00E8392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before="120" w:after="0"/>
      <w:outlineLvl w:val="4"/>
    </w:pPr>
    <w:rPr>
      <w:rFonts w:ascii="Arial" w:hAnsi="Arial"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before="120" w:after="0"/>
      <w:outlineLvl w:val="5"/>
    </w:pPr>
    <w:rPr>
      <w:rFonts w:ascii="Arial" w:hAnsi="Arial"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before="120" w:after="0"/>
      <w:outlineLvl w:val="6"/>
    </w:pPr>
    <w:rPr>
      <w:rFonts w:ascii="Arial" w:hAnsi="Arial"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before="120" w:after="0"/>
      <w:outlineLvl w:val="7"/>
    </w:pPr>
    <w:rPr>
      <w:rFonts w:ascii="Arial" w:hAnsi="Arial"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before="120" w:after="0"/>
      <w:outlineLvl w:val="8"/>
    </w:pPr>
    <w:rPr>
      <w:rFonts w:ascii="Arial" w:hAnsi="Arial"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tabs>
        <w:tab w:val="num" w:pos="720"/>
      </w:tabs>
      <w:spacing w:after="120"/>
      <w:ind w:left="720" w:hanging="7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tabs>
        <w:tab w:val="num" w:pos="720"/>
      </w:tabs>
      <w:spacing w:after="0"/>
      <w:ind w:left="720" w:hanging="72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EB0D4C"/>
    <w:rPr>
      <w:rFonts w:ascii="Times New Roman" w:hAnsi="Times New Roman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</w:style>
  <w:style w:type="paragraph" w:styleId="GrafListkruiQS" w:customStyle="true">
    <w:name w:val="GrafList_kružić_QS"/>
    <w:basedOn w:val="Normal"/>
    <w:link w:val="GrafListkrui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</w:style>
  <w:style w:type="paragraph" w:styleId="GrafListstarQS" w:customStyle="true">
    <w:name w:val="GrafList_star_QS"/>
    <w:basedOn w:val="Normal"/>
    <w:link w:val="GrafListstarQSChar"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2">
    <w:name w:val="List Bullet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3">
    <w:name w:val="List Bullet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4">
    <w:name w:val="List Bullet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Grafikeoznake5">
    <w:name w:val="List Bullet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2">
    <w:name w:val="List Number 2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3">
    <w:name w:val="List Number 3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4">
    <w:name w:val="List Number 4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Brojevi5">
    <w:name w:val="List Number 5"/>
    <w:basedOn w:val="NormalDefault"/>
    <w:rsid w:val="00EB0D4C"/>
    <w:pPr>
      <w:tabs>
        <w:tab w:val="num" w:pos="720"/>
      </w:tabs>
      <w:spacing w:before="120" w:after="0"/>
      <w:ind w:left="720" w:hanging="72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</w:style>
  <w:style w:type="paragraph" w:styleId="ListanastavakQS" w:customStyle="true">
    <w:name w:val="Lista_nastavak_QS"/>
    <w:basedOn w:val="Normal"/>
    <w:link w:val="ListanastavakQSChar"/>
    <w:rsid w:val="00EB0D4C"/>
    <w:pPr>
      <w:tabs>
        <w:tab w:val="num" w:pos="720"/>
      </w:tabs>
      <w:spacing w:before="60" w:after="0"/>
      <w:ind w:left="720" w:hanging="72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tabs>
        <w:tab w:val="clear" w:pos="851"/>
        <w:tab w:val="num" w:pos="720"/>
      </w:tabs>
      <w:ind w:left="720" w:hanging="720"/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tabs>
        <w:tab w:val="clear" w:pos="851"/>
        <w:tab w:val="num" w:pos="720"/>
      </w:tabs>
      <w:spacing w:after="60"/>
      <w:ind w:left="720" w:hanging="72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tabs>
        <w:tab w:val="num" w:pos="720"/>
      </w:tabs>
      <w:spacing w:before="120" w:after="0"/>
      <w:ind w:left="720" w:hanging="72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</w:style>
  <w:style w:type="numbering" w:styleId="NumListA0" w:customStyle="true">
    <w:name w:val="NumList_A)"/>
    <w:uiPriority w:val="99"/>
    <w:locked/>
    <w:rsid w:val="00551CB3"/>
  </w:style>
  <w:style w:type="paragraph" w:styleId="NumListaQS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0" w:customStyle="true">
    <w:name w:val="NumList_A)_QS"/>
    <w:basedOn w:val="Normal"/>
    <w:link w:val="NumListA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" w:customStyle="true">
    <w:name w:val="NumList_i)"/>
    <w:uiPriority w:val="99"/>
    <w:locked/>
    <w:rsid w:val="00551CB3"/>
  </w:style>
  <w:style w:type="numbering" w:styleId="NumListI0" w:customStyle="true">
    <w:name w:val="NumList_I)"/>
    <w:uiPriority w:val="99"/>
    <w:locked/>
    <w:rsid w:val="00551CB3"/>
  </w:style>
  <w:style w:type="paragraph" w:styleId="NumListiQS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0" w:customStyle="true">
    <w:name w:val="NumList_I)_QS"/>
    <w:basedOn w:val="Normal"/>
    <w:link w:val="NumListIQSChar0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</w:style>
  <w:style w:type="paragraph" w:styleId="NumListOIQS" w:customStyle="true">
    <w:name w:val="NumList_OI_QS"/>
    <w:basedOn w:val="Normal"/>
    <w:link w:val="NumListOIQSChar"/>
    <w:locked/>
    <w:rsid w:val="00EB0D4C"/>
    <w:pPr>
      <w:tabs>
        <w:tab w:val="num" w:pos="720"/>
      </w:tabs>
      <w:spacing w:before="120" w:after="0"/>
      <w:ind w:left="720" w:hanging="72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tabs>
        <w:tab w:val="num" w:pos="720"/>
      </w:tabs>
      <w:ind w:left="720" w:hanging="720"/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</w:style>
  <w:style w:type="numbering" w:styleId="Style2" w:customStyle="true">
    <w:name w:val="Style2"/>
    <w:uiPriority w:val="99"/>
    <w:rsid w:val="00551CB3"/>
  </w:style>
  <w:style w:type="numbering" w:styleId="Style3" w:customStyle="true">
    <w:name w:val="Style3"/>
    <w:uiPriority w:val="99"/>
    <w:rsid w:val="00551CB3"/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EB0D4C"/>
    <w:pPr>
      <w:tabs>
        <w:tab w:val="left" w:pos="7088"/>
      </w:tabs>
      <w:spacing w:after="0"/>
    </w:pPr>
    <w:rPr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tabs>
        <w:tab w:val="clear" w:pos="720"/>
        <w:tab w:val="left" w:pos="851"/>
      </w:tabs>
      <w:spacing w:before="120"/>
      <w:ind w:left="0" w:firstLine="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</w:style>
  <w:style w:type="numbering" w:styleId="1ai">
    <w:name w:val="Outline List 1"/>
    <w:basedOn w:val="Bezpopisa"/>
    <w:uiPriority w:val="99"/>
    <w:semiHidden/>
    <w:unhideWhenUsed/>
    <w:rsid w:val="00551CB3"/>
  </w:style>
  <w:style w:type="numbering" w:styleId="lanaksekcija">
    <w:name w:val="Outline List 3"/>
    <w:basedOn w:val="Bezpopisa"/>
    <w:uiPriority w:val="99"/>
    <w:semiHidden/>
    <w:unhideWhenUsed/>
    <w:rsid w:val="00551CB3"/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tabs>
        <w:tab w:val="num" w:pos="720"/>
      </w:tabs>
      <w:ind w:left="720" w:hanging="720"/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paragraph" w:styleId="Default" w:customStyle="true">
    <w:name w:val="Default"/>
    <w:rsid w:val="00142FCE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 w:val="24"/>
      <w:szCs w:val="24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83925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1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1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1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1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1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1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1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1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tabs>
        <w:tab w:pos="720" w:val="num"/>
      </w:tabs>
      <w:spacing w:after="120"/>
      <w:ind w:hanging="720" w:left="7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tabs>
        <w:tab w:pos="720" w:val="num"/>
      </w:tabs>
      <w:spacing w:after="0"/>
      <w:ind w:hanging="720" w:left="72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</w:style>
  <w:style w:customStyle="1" w:styleId="GrafListkruiQS" w:type="paragraph">
    <w:name w:val="GrafList_kružić_QS"/>
    <w:basedOn w:val="Normal"/>
    <w:link w:val="GrafListkrui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</w:style>
  <w:style w:customStyle="1" w:styleId="GrafListstarQS" w:type="paragraph">
    <w:name w:val="GrafList_star_QS"/>
    <w:basedOn w:val="Normal"/>
    <w:link w:val="GrafListstarQSChar"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2" w:type="paragraph">
    <w:name w:val="List Bullet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3" w:type="paragraph">
    <w:name w:val="List Bullet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4" w:type="paragraph">
    <w:name w:val="List Bullet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Grafikeoznake5" w:type="paragraph">
    <w:name w:val="List Bullet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2" w:type="paragraph">
    <w:name w:val="List Number 2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3" w:type="paragraph">
    <w:name w:val="List Number 3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4" w:type="paragraph">
    <w:name w:val="List Number 4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Brojevi5" w:type="paragraph">
    <w:name w:val="List Number 5"/>
    <w:basedOn w:val="NormalDefault"/>
    <w:rsid w:val="00EB0D4C"/>
    <w:pPr>
      <w:tabs>
        <w:tab w:pos="720" w:val="num"/>
      </w:tabs>
      <w:spacing w:after="0" w:before="120"/>
      <w:ind w:hanging="720" w:left="7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</w:style>
  <w:style w:customStyle="1" w:styleId="ListanastavakQS" w:type="paragraph">
    <w:name w:val="Lista_nastavak_QS"/>
    <w:basedOn w:val="Normal"/>
    <w:link w:val="ListanastavakQSChar"/>
    <w:rsid w:val="00EB0D4C"/>
    <w:pPr>
      <w:tabs>
        <w:tab w:pos="720" w:val="num"/>
      </w:tabs>
      <w:spacing w:after="0" w:before="60"/>
      <w:ind w:hanging="720" w:left="72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tabs>
        <w:tab w:pos="851" w:val="clear"/>
        <w:tab w:pos="720" w:val="num"/>
      </w:tabs>
      <w:ind w:hanging="720" w:left="720"/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tabs>
        <w:tab w:pos="851" w:val="clear"/>
        <w:tab w:pos="720" w:val="num"/>
      </w:tabs>
      <w:spacing w:after="60"/>
      <w:ind w:hanging="720" w:left="72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tabs>
        <w:tab w:pos="720" w:val="num"/>
      </w:tabs>
      <w:spacing w:after="0" w:before="120"/>
      <w:ind w:hanging="720" w:left="7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</w:style>
  <w:style w:customStyle="1" w:styleId="NumListA0" w:type="numbering">
    <w:name w:val="NumList_A)"/>
    <w:uiPriority w:val="99"/>
    <w:locked/>
    <w:rsid w:val="00551CB3"/>
  </w:style>
  <w:style w:customStyle="1" w:styleId="NumListaQS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0" w:type="paragraph">
    <w:name w:val="NumList_A)_QS"/>
    <w:basedOn w:val="Normal"/>
    <w:link w:val="NumListA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" w:type="numbering">
    <w:name w:val="NumList_i)"/>
    <w:uiPriority w:val="99"/>
    <w:locked/>
    <w:rsid w:val="00551CB3"/>
  </w:style>
  <w:style w:customStyle="1" w:styleId="NumListI0" w:type="numbering">
    <w:name w:val="NumList_I)"/>
    <w:uiPriority w:val="99"/>
    <w:locked/>
    <w:rsid w:val="00551CB3"/>
  </w:style>
  <w:style w:customStyle="1" w:styleId="NumListiQS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0" w:type="paragraph">
    <w:name w:val="NumList_I)_QS"/>
    <w:basedOn w:val="Normal"/>
    <w:link w:val="NumListIQSChar0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</w:style>
  <w:style w:customStyle="1" w:styleId="NumListOIQS" w:type="paragraph">
    <w:name w:val="NumList_OI_QS"/>
    <w:basedOn w:val="Normal"/>
    <w:link w:val="NumListOIQSChar"/>
    <w:locked/>
    <w:rsid w:val="00EB0D4C"/>
    <w:pPr>
      <w:tabs>
        <w:tab w:pos="720" w:val="num"/>
      </w:tabs>
      <w:spacing w:after="0" w:before="120"/>
      <w:ind w:hanging="720" w:left="7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tabs>
        <w:tab w:pos="720" w:val="num"/>
      </w:tabs>
      <w:ind w:hanging="720" w:left="720"/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</w:style>
  <w:style w:customStyle="1" w:styleId="Style2" w:type="numbering">
    <w:name w:val="Style2"/>
    <w:uiPriority w:val="99"/>
    <w:rsid w:val="00551CB3"/>
  </w:style>
  <w:style w:customStyle="1" w:styleId="Style3" w:type="numbering">
    <w:name w:val="Style3"/>
    <w:uiPriority w:val="99"/>
    <w:rsid w:val="00551CB3"/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tabs>
        <w:tab w:pos="720" w:val="clear"/>
        <w:tab w:pos="851" w:val="left"/>
      </w:tabs>
      <w:spacing w:before="120"/>
      <w:ind w:firstLine="0" w:left="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</w:style>
  <w:style w:styleId="1ai" w:type="numbering">
    <w:name w:val="Outline List 1"/>
    <w:basedOn w:val="Bezpopisa"/>
    <w:uiPriority w:val="99"/>
    <w:semiHidden/>
    <w:unhideWhenUsed/>
    <w:rsid w:val="00551CB3"/>
  </w:style>
  <w:style w:styleId="lanaksekcija" w:type="numbering">
    <w:name w:val="Outline List 3"/>
    <w:basedOn w:val="Bezpopisa"/>
    <w:uiPriority w:val="99"/>
    <w:semiHidden/>
    <w:unhideWhenUsed/>
    <w:rsid w:val="00551CB3"/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tabs>
        <w:tab w:pos="720" w:val="num"/>
      </w:tabs>
      <w:ind w:hanging="720" w:left="720"/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Default" w:type="paragraph">
    <w:name w:val="Default"/>
    <w:rsid w:val="00142FCE"/>
    <w:pPr>
      <w:autoSpaceDE w:val="0"/>
      <w:autoSpaceDN w:val="0"/>
      <w:adjustRightInd w:val="0"/>
      <w:spacing w:after="0" w:line="240" w:lineRule="auto"/>
    </w:pPr>
    <w:rPr>
      <w:rFonts w:ascii="Arial" w:cs="Arial" w:hAnsi="Arial"/>
      <w:color w:val="000000"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70056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595766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7714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261931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Sudnica, kabinet suca</izvorni_sadrzaj>
    <derivirana_varijabla naziv="DomainObject.Prostorija.Naziv_1">Sudnica, kabinet suca</derivirana_varijabla>
  </DomainObject.Prostorija.Naziv>
  <DomainObject.Prostorija.Oznaka>
    <izvorni_sadrzaj>112</izvorni_sadrzaj>
    <derivirana_varijabla naziv="DomainObject.Prostorija.Oznaka_1">112</derivirana_varijabla>
  </DomainObject.Prostorija.Oznaka>
  <DomainObject.Obrazlozenje>
    <izvorni_sadrzaj/>
    <derivirana_varijabla naziv="DomainObject.Obrazlozenje_1"/>
  </DomainObject.Obrazlozenje>
  <DomainObject.StvarniPocetakDatum>
    <izvorni_sadrzaj>27. listopada 2022.</izvorni_sadrzaj>
    <derivirana_varijabla naziv="DomainObject.StvarniPocetakDatum_1">27. listopada 2022.</derivirana_varijabla>
  </DomainObject.StvarniPocetakDatum>
  <DomainObject.StvarniZavrsetakDatum>
    <izvorni_sadrzaj>27. listopada 2022.</izvorni_sadrzaj>
    <derivirana_varijabla naziv="DomainObject.StvarniZavrsetakDatum_1">27. listopada 2022.</derivirana_varijabla>
  </DomainObject.StvarniZavrsetakDatum>
  <DomainObject.PlaniraniZavrsetakDatum>
    <izvorni_sadrzaj>27. listopada 2022.</izvorni_sadrzaj>
    <derivirana_varijabla naziv="DomainObject.PlaniraniZavrsetakDatum_1">27. listopada 2022.</derivirana_varijabla>
  </DomainObject.PlaniraniZavrsetakDatum>
  <DomainObject.PlaniraniPocetakDatum>
    <izvorni_sadrzaj>27. listopada 2022.</izvorni_sadrzaj>
    <derivirana_varijabla naziv="DomainObject.PlaniraniPocetakDatum_1">27. listopada 2022.</derivirana_varijabla>
  </DomainObject.PlaniraniPocetakDatum>
  <DomainObject.StvarniPocetakVrijeme>
    <izvorni_sadrzaj>09:00</izvorni_sadrzaj>
    <derivirana_varijabla naziv="DomainObject.StvarniPocetakVrijeme_1">09:00</derivirana_varijabla>
  </DomainObject.StvarniPocetakVrijeme>
  <DomainObject.StvarniZavrsetakVrijeme>
    <izvorni_sadrzaj>09:56</izvorni_sadrzaj>
    <derivirana_varijabla naziv="DomainObject.StvarniZavrsetakVrijeme_1">09:56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listopada 2022.</izvorni_sadrzaj>
    <derivirana_varijabla naziv="DomainObject.Zapisnik.DatumKreiranja_1">27. listopada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St-63/2015-553</izvorni_sadrzaj>
    <derivirana_varijabla naziv="DomainObject.Zapisnik.Oznaka_1">St-63/2015-553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</izvorni_sadrzaj>
    <derivirana_varijabla naziv="DomainObject.Predmet.Broj_1">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svibnja 2015.</izvorni_sadrzaj>
    <derivirana_varijabla naziv="DomainObject.Predmet.DatumOsnivanja_1">14.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St-63/2015</izvorni_sadrzaj>
    <derivirana_varijabla naziv="DomainObject.Predmet.OznakaBroj_1">St-63/2015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 dijela spisa otpremljen na VTS 25.9.2020., a original spisa se nalazi u referadi suca</izvorni_sadrzaj>
    <derivirana_varijabla naziv="DomainObject.Predmet.PrimjedbaSuca_1">Preslik dijela spisa otpremljen na VTS 25.9.2020., a original spisa se nalazi u referadi suca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BOŽEN-CO d.o.o. za građevinarstvo i usluge u stečaju</izvorni_sadrzaj>
    <derivirana_varijabla naziv="DomainObject.Predmet.ProtustrankaFormated_1">  BOŽEN-CO d.o.o. za građevinarstvo i usluge u stečaju</derivirana_varijabla>
  </DomainObject.Predmet.ProtustrankaFormated>
  <DomainObject.Predmet.ProtustrankaFormatedOIB>
    <izvorni_sadrzaj>  BOŽEN-CO d.o.o. za građevinarstvo i usluge u stečaju, OIB 30689118861</izvorni_sadrzaj>
    <derivirana_varijabla naziv="DomainObject.Predmet.ProtustrankaFormatedOIB_1">  BOŽEN-CO d.o.o. za građevinarstvo i usluge u stečaju, OIB 30689118861</derivirana_varijabla>
  </DomainObject.Predmet.ProtustrankaFormatedOIB>
  <DomainObject.Predmet.ProtustrankaFormatedWithAdress>
    <izvorni_sadrzaj> BOŽEN-CO d.o.o. za građevinarstvo i usluge u stečaju, Put Supavla 39, 21000 Split</izvorni_sadrzaj>
    <derivirana_varijabla naziv="DomainObject.Predmet.ProtustrankaFormatedWithAdress_1"> BOŽEN-CO d.o.o. za građevinarstvo i usluge u stečaju, Put Supavla 39, 21000 Split</derivirana_varijabla>
  </DomainObject.Predmet.ProtustrankaFormatedWithAdress>
  <DomainObject.Predmet.ProtustrankaFormatedWithAdressOIB>
    <izvorni_sadrzaj> BOŽEN-CO d.o.o. za građevinarstvo i usluge u stečaju, OIB 30689118861, Put Supavla 39, 21000 Split</izvorni_sadrzaj>
    <derivirana_varijabla naziv="DomainObject.Predmet.ProtustrankaFormatedWithAdressOIB_1"> BOŽEN-CO d.o.o. za građevinarstvo i usluge u stečaju, OIB 30689118861, Put Supavla 39, 21000 Split</derivirana_varijabla>
  </DomainObject.Predmet.ProtustrankaFormatedWithAdressOIB>
  <DomainObject.Predmet.ProtustrankaWithAdress>
    <izvorni_sadrzaj>BOŽEN-CO d.o.o. za građevinarstvo i usluge u stečaju Put Supavla 39, 21000 Split</izvorni_sadrzaj>
    <derivirana_varijabla naziv="DomainObject.Predmet.ProtustrankaWithAdress_1">BOŽEN-CO d.o.o. za građevinarstvo i usluge u stečaju Put Supavla 39, 21000 Split</derivirana_varijabla>
  </DomainObject.Predmet.ProtustrankaWithAdress>
  <DomainObject.Predmet.ProtustrankaWithAdressOIB>
    <izvorni_sadrzaj>BOŽEN-CO d.o.o. za građevinarstvo i usluge u stečaju, OIB 30689118861, Put Supavla 39, 21000 Split</izvorni_sadrzaj>
    <derivirana_varijabla naziv="DomainObject.Predmet.ProtustrankaWithAdressOIB_1">BOŽEN-CO d.o.o. za građevinarstvo i usluge u stečaju, OIB 30689118861, Put Supavla 39, 21000 Split</derivirana_varijabla>
  </DomainObject.Predmet.ProtustrankaWithAdressOIB>
  <DomainObject.Predmet.ProtustrankaNazivFormated>
    <izvorni_sadrzaj>BOŽEN-CO d.o.o. za građevinarstvo i usluge u stečaju</izvorni_sadrzaj>
    <derivirana_varijabla naziv="DomainObject.Predmet.ProtustrankaNazivFormated_1">BOŽEN-CO d.o.o. za građevinarstvo i usluge u stečaju</derivirana_varijabla>
  </DomainObject.Predmet.ProtustrankaNazivFormated>
  <DomainObject.Predmet.ProtustrankaNazivFormatedOIB>
    <izvorni_sadrzaj>BOŽEN-CO d.o.o. za građevinarstvo i usluge u stečaju, OIB 30689118861</izvorni_sadrzaj>
    <derivirana_varijabla naziv="DomainObject.Predmet.ProtustrankaNazivFormatedOIB_1">BOŽEN-CO d.o.o. za građevinarstvo i usluge u stečaju, OIB 30689118861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BOŽEN-CO d.o.o. za građevinarstvo i usluge u stečaju</item>
    </izvorni_sadrzaj>
    <derivirana_varijabla naziv="DomainObject.Predmet.ProtuStrankaListFormated_1">
      <item>BOŽEN-CO d.o.o. za građevinarstvo i usluge u stečaju</item>
    </derivirana_varijabla>
  </DomainObject.Predmet.ProtuStrankaListFormated>
  <DomainObject.Predmet.ProtuStrankaListFormatedOIB>
    <izvorni_sadrzaj>
      <item>BOŽEN-CO d.o.o. za građevinarstvo i usluge u stečaju, OIB 30689118861</item>
    </izvorni_sadrzaj>
    <derivirana_varijabla naziv="DomainObject.Predmet.ProtuStrankaListFormatedOIB_1">
      <item>BOŽEN-CO d.o.o. za građevinarstvo i usluge u stečaju, OIB 30689118861</item>
    </derivirana_varijabla>
  </DomainObject.Predmet.ProtuStrankaListFormatedOIB>
  <DomainObject.Predmet.ProtuStrankaListFormatedWithAdress>
    <izvorni_sadrzaj>
      <item>BOŽEN-CO d.o.o. za građevinarstvo i usluge u stečaju, Put Supavla 39, 21000 Split</item>
    </izvorni_sadrzaj>
    <derivirana_varijabla naziv="DomainObject.Predmet.ProtuStrankaListFormatedWithAdress_1">
      <item>BOŽEN-CO d.o.o. za građevinarstvo i usluge u stečaju, Put Supavla 39, 21000 Split</item>
    </derivirana_varijabla>
  </DomainObject.Predmet.ProtuStrankaListFormatedWithAdress>
  <DomainObject.Predmet.ProtuStrankaListFormatedWithAdressOIB>
    <izvorni_sadrzaj>
      <item>BOŽEN-CO d.o.o. za građevinarstvo i usluge u stečaju, OIB 30689118861, Put Supavla 39, 21000 Split</item>
    </izvorni_sadrzaj>
    <derivirana_varijabla naziv="DomainObject.Predmet.ProtuStrankaListFormatedWithAdressOIB_1">
      <item>BOŽEN-CO d.o.o. za građevinarstvo i usluge u stečaju, OIB 30689118861, Put Supavla 39, 21000 Split</item>
    </derivirana_varijabla>
  </DomainObject.Predmet.ProtuStrankaListFormatedWithAdressOIB>
  <DomainObject.Predmet.ProtuStrankaListNazivFormated>
    <izvorni_sadrzaj>
      <item>BOŽEN-CO d.o.o. za građevinarstvo i usluge u stečaju</item>
    </izvorni_sadrzaj>
    <derivirana_varijabla naziv="DomainObject.Predmet.ProtuStrankaListNazivFormated_1">
      <item>BOŽEN-CO d.o.o. za građevinarstvo i usluge u stečaju</item>
    </derivirana_varijabla>
  </DomainObject.Predmet.ProtuStrankaListNazivFormated>
  <DomainObject.Predmet.ProtuStrankaListNazivFormatedOIB>
    <izvorni_sadrzaj>
      <item>BOŽEN-CO d.o.o. za građevinarstvo i usluge u stečaju, OIB 30689118861</item>
    </izvorni_sadrzaj>
    <derivirana_varijabla naziv="DomainObject.Predmet.ProtuStrankaListNazivFormatedOIB_1">
      <item>BOŽEN-CO d.o.o. za građevinarstvo i usluge u stečaju, OIB 30689118861</item>
    </derivirana_varijabla>
  </DomainObject.Predmet.ProtuStrankaListNazivFormatedOIB>
  <DomainObject.Predmet.OstaliListFormated>
    <izvorni_sadrzaj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  <item>Tomo Roščić</item>
      <item>Ana Jadrić</item>
      <item>ANDO NEKRETNINE d.o.o. za usluge</item>
      <item>Dean Rahan</item>
      <item>Domagoj Mužić</item>
      <item>GRAD SPLIT</item>
    </izvorni_sadrzaj>
    <derivirana_varijabla naziv="DomainObject.Predmet.OstaliListFormated_1"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  <item>Tomo Roščić</item>
      <item>Ana Jadrić</item>
      <item>ANDO NEKRETNINE d.o.o. za usluge</item>
      <item>Dean Rahan</item>
      <item>Domagoj Mužić</item>
      <item>GRAD SPLIT</item>
    </derivirana_varijabla>
  </DomainObject.Predmet.OstaliListFormated>
  <DomainObject.Predmet.OstaliListFormatedOIB>
    <izvorni_sadrzaj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  <item>Tomo Roščić, OIB 42246156055</item>
      <item>Ana Jadrić, OIB 05392157425</item>
      <item>ANDO NEKRETNINE d.o.o. za usluge, OIB 68974684590</item>
      <item>Dean Rahan, OIB 52080522330</item>
      <item>Domagoj Mužić, OIB 84581539334</item>
      <item>GRAD SPLIT, OIB 78755598868</item>
    </izvorni_sadrzaj>
    <derivirana_varijabla naziv="DomainObject.Predmet.OstaliListFormatedOIB_1"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  <item>Tomo Roščić, OIB 42246156055</item>
      <item>Ana Jadrić, OIB 05392157425</item>
      <item>ANDO NEKRETNINE d.o.o. za usluge, OIB 68974684590</item>
      <item>Dean Rahan, OIB 52080522330</item>
      <item>Domagoj Mužić, OIB 84581539334</item>
      <item>GRAD SPLIT, OIB 78755598868</item>
    </derivirana_varijabla>
  </DomainObject.Predmet.OstaliListFormatedOIB>
  <DomainObject.Predmet.OstaliListFormatedWithAdress>
    <izvorni_sadrzaj>
      <item>Općinski sud u Splitu - ZK odjel, Gundulićeva 29, 21000 Split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Hrvatska radiotelevizija, Prisavlje 3, 10000 Zagreb</item>
      <item>MADIRAZZA &amp; PARTNERI, odvjetničko društvo d.o.o., Masarykova 21, 10000 Zagreb</item>
      <item>Tomo Roščić, Ruđera Boškovića 7, 21000 Split</item>
      <item>Ana Jadrić, Mažuranićevo Šetalište 73, 21000 Split</item>
      <item>ANDO NEKRETNINE d.o.o. za usluge, Put Supavla 1, 21000 Split</item>
      <item>Dean Rahan, Hrvatskih velikana 8, 21400 Supetar</item>
      <item>Domagoj Mužić, Vukovarska 23, 21000 Split</item>
      <item>GRAD SPLIT, Obala kneza Branimira 17, 21000 Split</item>
    </izvorni_sadrzaj>
    <derivirana_varijabla naziv="DomainObject.Predmet.OstaliListFormatedWithAdress_1">
      <item>Općinski sud u Splitu - ZK odjel, Gundulićeva 29, 21000 Split</item>
      <item>Branimir Živaljić, Grljevačka 113, 21311 Podstrana</item>
      <item>FINA Split, Mažuranićevo šet. 24B, 21000 Split</item>
      <item>Odvjetničko društvo Ivančević i partneri, javno trgovačko društvo, 114. Brigade 10, 21000 Split</item>
      <item>Hrvatska radiotelevizija, Prisavlje 3, 10000 Zagreb</item>
      <item>MADIRAZZA &amp; PARTNERI, odvjetničko društvo d.o.o., Masarykova 21, 10000 Zagreb</item>
      <item>Tomo Roščić, Ruđera Boškovića 7, 21000 Split</item>
      <item>Ana Jadrić, Mažuranićevo Šetalište 73, 21000 Split</item>
      <item>ANDO NEKRETNINE d.o.o. za usluge, Put Supavla 1, 21000 Split</item>
      <item>Dean Rahan, Hrvatskih velikana 8, 21400 Supetar</item>
      <item>Domagoj Mužić, Vukovarska 23, 21000 Split</item>
      <item>GRAD SPLIT, Obala kneza Branimira 17, 21000 Split</item>
    </derivirana_varijabla>
  </DomainObject.Predmet.OstaliListFormatedWithAdress>
  <DomainObject.Predmet.OstaliListFormatedWithAdressOIB>
    <izvorni_sadrzaj>
      <item>Općinski sud u Splitu - ZK odjel, Gundulićeva 29, 21000 Split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Hrvatska radiotelevizija, OIB 68419124305, Prisavlje 3, 10000 Zagreb</item>
      <item>MADIRAZZA &amp; PARTNERI, odvjetničko društvo d.o.o., OIB 37462847637, Masarykova 21, 10000 Zagreb</item>
      <item>Tomo Roščić, OIB 42246156055, Ruđera Boškovića 7, 21000 Split</item>
      <item>Ana Jadrić, OIB 05392157425, Mažuranićevo Šetalište 73, 21000 Split</item>
      <item>ANDO NEKRETNINE d.o.o. za usluge, OIB 68974684590, Put Supavla 1, 21000 Split</item>
      <item>Dean Rahan, OIB 52080522330, Hrvatskih velikana 8, 21400 Supetar</item>
      <item>Domagoj Mužić, OIB 84581539334, Vukovarska 23, 21000 Split</item>
      <item>GRAD SPLIT, OIB 78755598868, Obala kneza Branimira 17, 21000 Split</item>
    </izvorni_sadrzaj>
    <derivirana_varijabla naziv="DomainObject.Predmet.OstaliListFormatedWithAdressOIB_1">
      <item>Općinski sud u Splitu - ZK odjel, Gundulićeva 29, 21000 Split</item>
      <item>Branimir Živaljić, OIB 15134640437, Grljevačka 113, 21311 Podstrana</item>
      <item>FINA Split, Mažuranićevo šet. 24B, 21000 Split</item>
      <item>Odvjetničko društvo Ivančević i partneri, javno trgovačko društvo, OIB 16489228668, 114. Brigade 10, 21000 Split</item>
      <item>Hrvatska radiotelevizija, OIB 68419124305, Prisavlje 3, 10000 Zagreb</item>
      <item>MADIRAZZA &amp; PARTNERI, odvjetničko društvo d.o.o., OIB 37462847637, Masarykova 21, 10000 Zagreb</item>
      <item>Tomo Roščić, OIB 42246156055, Ruđera Boškovića 7, 21000 Split</item>
      <item>Ana Jadrić, OIB 05392157425, Mažuranićevo Šetalište 73, 21000 Split</item>
      <item>ANDO NEKRETNINE d.o.o. za usluge, OIB 68974684590, Put Supavla 1, 21000 Split</item>
      <item>Dean Rahan, OIB 52080522330, Hrvatskih velikana 8, 21400 Supetar</item>
      <item>Domagoj Mužić, OIB 84581539334, Vukovarska 23, 21000 Split</item>
      <item>GRAD SPLIT, OIB 78755598868, Obala kneza Branimira 17, 21000 Split</item>
    </derivirana_varijabla>
  </DomainObject.Predmet.OstaliListFormatedWithAdressOIB>
  <DomainObject.Predmet.OstaliListNazivFormated>
    <izvorni_sadrzaj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  <item>Tomo Roščić</item>
      <item>Ana Jadrić</item>
      <item>ANDO NEKRETNINE d.o.o. za usluge</item>
      <item>Dean Rahan</item>
      <item>Domagoj Mužić</item>
      <item>GRAD SPLIT</item>
    </izvorni_sadrzaj>
    <derivirana_varijabla naziv="DomainObject.Predmet.OstaliListNazivFormated_1"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  <item>Tomo Roščić</item>
      <item>Ana Jadrić</item>
      <item>ANDO NEKRETNINE d.o.o. za usluge</item>
      <item>Dean Rahan</item>
      <item>Domagoj Mužić</item>
      <item>GRAD SPLIT</item>
    </derivirana_varijabla>
  </DomainObject.Predmet.OstaliListNazivFormated>
  <DomainObject.Predmet.OstaliListNazivFormatedOIB>
    <izvorni_sadrzaj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  <item>Tomo Roščić, OIB 42246156055</item>
      <item>Ana Jadrić, OIB 05392157425</item>
      <item>ANDO NEKRETNINE d.o.o. za usluge, OIB 68974684590</item>
      <item>Dean Rahan, OIB 52080522330</item>
      <item>Domagoj Mužić, OIB 84581539334</item>
      <item>GRAD SPLIT, OIB 78755598868</item>
    </izvorni_sadrzaj>
    <derivirana_varijabla naziv="DomainObject.Predmet.OstaliListNazivFormatedOIB_1">
      <item>Općinski sud u Splitu - ZK odjel</item>
      <item>Branimir Živaljić, OIB 15134640437</item>
      <item>FINA Split</item>
      <item>Odvjetničko društvo Ivančević i partneri, javno trgovačko društvo, OIB 16489228668</item>
      <item>Hrvatska radiotelevizija, OIB 68419124305</item>
      <item>MADIRAZZA &amp; PARTNERI, odvjetničko društvo d.o.o., OIB 37462847637</item>
      <item>Tomo Roščić, OIB 42246156055</item>
      <item>Ana Jadrić, OIB 05392157425</item>
      <item>ANDO NEKRETNINE d.o.o. za usluge, OIB 68974684590</item>
      <item>Dean Rahan, OIB 52080522330</item>
      <item>Domagoj Mužić, OIB 84581539334</item>
      <item>GRAD SPLIT, OIB 78755598868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2022.</izvorni_sadrzaj>
    <derivirana_varijabla naziv="DomainObject.Datum_1">27. listopada 2022.</derivirana_varijabla>
  </DomainObject.Datum>
  <DomainObject.PoslovniBrojDokumenta>
    <izvorni_sadrzaj>St-63/2015-553</izvorni_sadrzaj>
    <derivirana_varijabla naziv="DomainObject.PoslovniBrojDokumenta_1">St-63/2015-553</derivirana_varijabla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BOŽEN-CO d.o.o. za građevinarstvo i usluge u stečaju</izvorni_sadrzaj>
    <derivirana_varijabla naziv="DomainObject.Predmet.ProtustrankaIDrugi_1">BOŽEN-CO d.o.o. za građevinarstvo i usluge u stečaju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BOŽEN-CO d.o.o. za građevinarstvo i usluge u stečaju, OIB 30689118861, Put Supavla 39, 21000 Split</izvorni_sadrzaj>
    <derivirana_varijabla naziv="DomainObject.Predmet.ProtustrankaIDrugiAdressOIB_1">BOŽEN-CO d.o.o. za građevinarstvo i usluge u stečaju, OIB 30689118861, Put Supavla 39,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BOŽEN-CO d.o.o. za građevinarstvo i usluge u stečaju</item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  <item>Tomo Roščić</item>
      <item>Ana Jadrić</item>
      <item>ANDO NEKRETNINE d.o.o. za usluge</item>
      <item>Dean Rahan</item>
      <item>Domagoj Mužić</item>
      <item>GRAD SPLIT</item>
    </izvorni_sadrzaj>
    <derivirana_varijabla naziv="DomainObject.Predmet.SudioniciListNaziv_1">
      <item>REPUBLIKA HRVATSKA</item>
      <item>BOŽEN-CO d.o.o. za građevinarstvo i usluge u stečaju</item>
      <item>Općinski sud u Splitu - ZK odjel</item>
      <item>Branimir Živaljić</item>
      <item>FINA Split</item>
      <item>Odvjetničko društvo Ivančević i partneri, javno trgovačko društvo</item>
      <item>Hrvatska radiotelevizija</item>
      <item>MADIRAZZA &amp; PARTNERI, odvjetničko društvo d.o.o.</item>
      <item>Tomo Roščić</item>
      <item>Ana Jadrić</item>
      <item>ANDO NEKRETNINE d.o.o. za usluge</item>
      <item>Dean Rahan</item>
      <item>Domagoj Mužić</item>
      <item>GRAD SPLIT</item>
    </derivirana_varijabla>
  </DomainObject.Predmet.SudioniciListNaziv>
  <DomainObject.Predmet.SudioniciListAdressOIB>
    <izvorni_sadrzaj>
      <item>REPUBLIKA HRVATSKA, OIB 52634238587</item>
      <item>BOŽEN-CO d.o.o. za građevinarstvo i usluge u stečaju, OIB 30689118861, Put Supavla 39,21000 Split</item>
      <item>Općinski sud u Splitu - ZK odjel, Gundulićeva 29,21000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Hrvatska radiotelevizija, OIB 68419124305, Prisavlje 3,10000 Zagreb</item>
      <item>MADIRAZZA &amp; PARTNERI, odvjetničko društvo d.o.o., OIB 37462847637, Masarykova 21,10000 Zagreb</item>
      <item>Tomo Roščić, OIB 42246156055, Ruđera Boškovića 7,21000 Split</item>
      <item>Ana Jadrić, OIB 05392157425, Mažuranićevo Šetalište 73,21000 Split</item>
      <item>ANDO NEKRETNINE d.o.o. za usluge, OIB 68974684590, Put Supavla 1,21000 Split</item>
      <item>Dean Rahan, OIB 52080522330, Hrvatskih velikana 8,21400 Supetar</item>
      <item>Domagoj Mužić, OIB 84581539334, Vukovarska 23,21000 Split</item>
      <item>GRAD SPLIT, OIB 78755598868, Obala kneza Branimira 17,21000 Split</item>
    </izvorni_sadrzaj>
    <derivirana_varijabla naziv="DomainObject.Predmet.SudioniciListAdressOIB_1">
      <item>REPUBLIKA HRVATSKA, OIB 52634238587</item>
      <item>BOŽEN-CO d.o.o. za građevinarstvo i usluge u stečaju, OIB 30689118861, Put Supavla 39,21000 Split</item>
      <item>Općinski sud u Splitu - ZK odjel, Gundulićeva 29,21000 Split</item>
      <item>Branimir Živaljić, OIB 15134640437, Grljevačka 113,21311 Podstrana</item>
      <item>FINA Split, Mažuranićevo šet. 24B,21000 Split</item>
      <item>Odvjetničko društvo Ivančević i partneri, javno trgovačko društvo, OIB 16489228668, 114. Brigade 10,21000 Split</item>
      <item>Hrvatska radiotelevizija, OIB 68419124305, Prisavlje 3,10000 Zagreb</item>
      <item>MADIRAZZA &amp; PARTNERI, odvjetničko društvo d.o.o., OIB 37462847637, Masarykova 21,10000 Zagreb</item>
      <item>Tomo Roščić, OIB 42246156055, Ruđera Boškovića 7,21000 Split</item>
      <item>Ana Jadrić, OIB 05392157425, Mažuranićevo Šetalište 73,21000 Split</item>
      <item>ANDO NEKRETNINE d.o.o. za usluge, OIB 68974684590, Put Supavla 1,21000 Split</item>
      <item>Dean Rahan, OIB 52080522330, Hrvatskih velikana 8,21400 Supetar</item>
      <item>Domagoj Mužić, OIB 84581539334, Vukovarska 23,21000 Split</item>
      <item>GRAD SPLIT, OIB 78755598868, Obala kneza Branimira 17,21000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30689118861</item>
      <item>, OIB null</item>
      <item>, OIB 15134640437</item>
      <item>, OIB null</item>
      <item>, OIB 16489228668</item>
      <item>, OIB 68419124305</item>
      <item>, OIB 37462847637</item>
      <item>, OIB 42246156055</item>
      <item>, OIB 05392157425</item>
      <item>, OIB 68974684590</item>
      <item>, OIB 52080522330</item>
      <item>, OIB 84581539334</item>
      <item>, OIB 78755598868</item>
    </izvorni_sadrzaj>
    <derivirana_varijabla naziv="DomainObject.Predmet.SudioniciListNazivOIB_1">
      <item>, OIB 52634238587</item>
      <item>, OIB 30689118861</item>
      <item>, OIB null</item>
      <item>, OIB 15134640437</item>
      <item>, OIB null</item>
      <item>, OIB 16489228668</item>
      <item>, OIB 68419124305</item>
      <item>, OIB 37462847637</item>
      <item>, OIB 42246156055</item>
      <item>, OIB 05392157425</item>
      <item>, OIB 68974684590</item>
      <item>, OIB 52080522330</item>
      <item>, OIB 84581539334</item>
      <item>, OIB 78755598868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1DBA0A5-A7D4-489B-9BDF-D381BB6DB16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8</properties:Pages>
  <properties:Words>3065</properties:Words>
  <properties:Characters>16159</properties:Characters>
  <properties:Lines>347</properties:Lines>
  <properties:Paragraphs>124</properties:Paragraphs>
  <properties:TotalTime>53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19204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2022-10-27T06:54:00Z</dcterms:created>
  <dc:creator>eSpis</dc:creator>
  <cp:lastModifiedBy>Ana Golub Gruić</cp:lastModifiedBy>
  <cp:lastPrinted>2022-10-27T07:56:00Z</cp:lastPrinted>
  <dcterms:modified xmlns:xsi="http://www.w3.org/2001/XMLSchema-instance" xsi:type="dcterms:W3CDTF">2022-10-27T08:24:00Z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St-63/2015-553 / Zapisnik - Ročište (27.10.2022. - 09.00 St-63-2015 Ročište radi utvrđenja vrijednosti.docx)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8</vt:i4>
  </prop:property>
</prop:Properties>
</file>